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13828C31" w14:textId="77777777" w:rsidR="00C21847" w:rsidRDefault="00C21847">
      <w:pPr>
        <w:pStyle w:val="ContentsHeading"/>
        <w:rPr>
          <w:rFonts w:ascii="EB Garamond" w:eastAsia="Times" w:hAnsi="EB Garamond" w:cs="Times"/>
          <w:b w:val="0"/>
          <w:bCs w:val="0"/>
        </w:rPr>
      </w:pPr>
      <w:r>
        <w:t>Table of Contents</w:t>
      </w:r>
    </w:p>
    <w:p w14:paraId="1248E089" w14:textId="77777777" w:rsidR="00C21847" w:rsidRDefault="00C21847">
      <w:pPr>
        <w:pStyle w:val="Heading"/>
        <w:rPr>
          <w:rFonts w:ascii="EB Garamond" w:eastAsia="Times" w:hAnsi="EB Garamond" w:cs="Times"/>
          <w:b w:val="0"/>
          <w:bCs w:val="0"/>
        </w:rPr>
      </w:pPr>
    </w:p>
    <w:p w14:paraId="10DAAC1B" w14:textId="77777777" w:rsidR="00C21847" w:rsidRDefault="00C21847">
      <w:pPr>
        <w:pStyle w:val="Heading"/>
      </w:pPr>
      <w:r>
        <w:rPr>
          <w:rFonts w:ascii="EB Garamond" w:eastAsia="Times" w:hAnsi="EB Garamond" w:cs="Times"/>
          <w:b w:val="0"/>
          <w:bCs w:val="0"/>
        </w:rPr>
        <w:t>God, Creation and Man: Old Testament Themes in Ecological Perspective</w:t>
      </w:r>
    </w:p>
    <w:p w14:paraId="30095476" w14:textId="77777777" w:rsidR="00C21847" w:rsidRDefault="00C21847" w:rsidP="00002F73">
      <w:pPr>
        <w:pStyle w:val="Heading1"/>
      </w:pPr>
      <w:r>
        <w:t>Introduction</w:t>
      </w:r>
    </w:p>
    <w:p w14:paraId="70FA05BC" w14:textId="2CFA0150" w:rsidR="00680136" w:rsidRDefault="00680136" w:rsidP="00680136">
      <w:r>
        <w:t>The conflict between wild-life and humans are on a stead</w:t>
      </w:r>
      <w:r w:rsidR="00002F73">
        <w:t>y</w:t>
      </w:r>
      <w:r>
        <w:t xml:space="preserve"> rise in India. </w:t>
      </w:r>
    </w:p>
    <w:p w14:paraId="42BAF974" w14:textId="77777777" w:rsidR="00680136" w:rsidRDefault="00680136" w:rsidP="00680136">
      <w:r>
        <w:t xml:space="preserve">This has two sides. First the humans trespass the habitats of the </w:t>
      </w:r>
      <w:proofErr w:type="gramStart"/>
      <w:r>
        <w:t>wild-life</w:t>
      </w:r>
      <w:proofErr w:type="gramEnd"/>
      <w:r>
        <w:t xml:space="preserve">. The second the wild animals dare to step </w:t>
      </w:r>
      <w:proofErr w:type="gramStart"/>
      <w:r>
        <w:t>in to</w:t>
      </w:r>
      <w:proofErr w:type="gramEnd"/>
      <w:r>
        <w:t xml:space="preserve"> the territory of human beings to kill humans and their life-stock, and destroy cultivation.</w:t>
      </w:r>
    </w:p>
    <w:p w14:paraId="1A00B03C" w14:textId="77777777" w:rsidR="00680136" w:rsidRDefault="00680136" w:rsidP="00680136">
      <w:r>
        <w:t>The disappearance of habitats, and stock of prey is one reason why the conflict happens. Human beings not only poach wild-but the violent animals are legally terminated, moved away or even become victims of revenge killings.</w:t>
      </w:r>
    </w:p>
    <w:p w14:paraId="2775A027" w14:textId="77777777" w:rsidR="00680136" w:rsidRDefault="00680136" w:rsidP="00680136">
      <w:r>
        <w:t xml:space="preserve">This scenario is not evident in many developed countries where there are clear boundary lines between animals and humans. </w:t>
      </w:r>
    </w:p>
    <w:p w14:paraId="668DAE0A" w14:textId="77777777" w:rsidR="00A453D9" w:rsidRDefault="00A453D9" w:rsidP="00A453D9">
      <w:pPr>
        <w:pStyle w:val="Heading3"/>
      </w:pPr>
      <w:r>
        <w:lastRenderedPageBreak/>
        <w:t>Population explosion brings wild-life and humans in conflict.</w:t>
      </w:r>
    </w:p>
    <w:p w14:paraId="645AA679" w14:textId="77777777" w:rsidR="00680136" w:rsidRDefault="00680136" w:rsidP="00680136">
      <w:pPr>
        <w:pStyle w:val="Heading3"/>
      </w:pPr>
      <w:r>
        <w:t>Greed is one of the reasons for the imbalance of wild-life and human existence.</w:t>
      </w:r>
    </w:p>
    <w:p w14:paraId="04B15EEE" w14:textId="77777777" w:rsidR="00A453D9" w:rsidRPr="00A453D9" w:rsidRDefault="00A453D9" w:rsidP="00A453D9">
      <w:r>
        <w:t>Human presence in habitats for mining, harvesting forest produce, tourism and so on bring the animals in conflict with their human counterparts.</w:t>
      </w:r>
    </w:p>
    <w:p w14:paraId="23938450" w14:textId="77777777" w:rsidR="00680136" w:rsidRPr="00680136" w:rsidRDefault="00680136" w:rsidP="00680136">
      <w:pPr>
        <w:pStyle w:val="Heading3"/>
      </w:pPr>
      <w:r>
        <w:t xml:space="preserve">Religious beliefs play a crucial </w:t>
      </w:r>
      <w:r w:rsidR="00A453D9">
        <w:t>role in the attitude towards animals.</w:t>
      </w:r>
    </w:p>
    <w:p w14:paraId="6D47BF36" w14:textId="77777777" w:rsidR="00A453D9" w:rsidRDefault="00A453D9" w:rsidP="00680136">
      <w:r>
        <w:t>Religious beliefs on the purpose for the created order, the nature of human-animal relationship decide how the humans relate with other members in the animal kingdom.</w:t>
      </w:r>
    </w:p>
    <w:p w14:paraId="747F65C3" w14:textId="77777777" w:rsidR="00CA1D7A" w:rsidRDefault="00CA1D7A" w:rsidP="00CA1D7A">
      <w:pPr>
        <w:pStyle w:val="Heading3"/>
      </w:pPr>
      <w:r>
        <w:t>Strategies to reduce the conflicts, restricts human freedom.</w:t>
      </w:r>
    </w:p>
    <w:p w14:paraId="566FE073" w14:textId="77777777" w:rsidR="00772953" w:rsidRDefault="00772953" w:rsidP="00772953">
      <w:r>
        <w:t>Some strategies suggested to combat such conflicts are:</w:t>
      </w:r>
    </w:p>
    <w:p w14:paraId="1D028A4D" w14:textId="77777777" w:rsidR="00680136" w:rsidRPr="00680136" w:rsidRDefault="00772953" w:rsidP="00772953">
      <w:pPr>
        <w:pStyle w:val="Quote"/>
      </w:pPr>
      <w:r>
        <w:t xml:space="preserve">“Rearing of Animals like Goats, Dogs, Cats, Poultry should be prohibited” and “ rearing of Milch Animals should be in an Iron Fence with a way to move from inside the house”  and cultivation of Banana Trees in the Residential Environment will attract Elephants and hence the same may be avoided” </w:t>
      </w:r>
      <w:r>
        <w:fldChar w:fldCharType="begin"/>
      </w:r>
      <w:r>
        <w:instrText xml:space="preserve"> ADDIN ZOTERO_ITEM CSL_CITATION {"citationID":"duvUvjXp","properties":{"formattedCitation":"(Sekhar, Ganesan, and Baranidharan 2018, 40)","plainCitation":"(Sekhar, Ganesan, and Baranidharan 2018, 40)","noteIndex":0},"citationItems":[{"id":5460,"uris":["http://zotero.org/users/10391/items/IM3WWL4L"],"itemData":{"id":5460,"type":"article-journal","abstract":"As human populations expand into wild animal habitats, natural wildlife territory is displaced. Reduction in the availability of natural prey / food sources, shrinkage of habitat lead the wild animals to seek alternate sources. New feed resources created by humans adjacent to forest floor draw the wildlife voluntarily to the non-forest floor resulting in human-animal conflicts. The human conflict is often taking place with the iconic animals like Tigers which has gradually increased since 1970s, when India launched a nationwide Tiger Conservation Program that carved out sanctuaries in National parks and made it a crime to kill a big cat. Considering the importance of protecting the wild animals and to identify the reasons for human animal conflicts in the wilder zone or in the forest fringes, a Case Study approach has been practiced in the Anamalai Tiger Reserve of Tamil Nadu. Among the various animal population, the herbivore population alone accounted for 98 per cent. Only two per cent of the wild animal population is with Carnivore animals like Tiger, Leopard, Wild Dog and Sloth Bear. Among the three carnivores selected, Tiger and Leopard became the best in hunting of the needed prey whereas, the Tiger is found to hunt whatever it come across when the hunting process is on. But its preference is towards Sambar Deer which is accounted for around fifty per cent. This is visible in respect of Leopard too; its preference towards Sambar Deer is accounted for 36 per cent. Nilgiri Langur formed the prey to wild carnivores which is accounted for only 3 per cent which is visible in the Scats of Leopard. If nothing is available, Langur is the last choice as food to the Leopard. Besides, the factors which are actually favoring the conflicts between the human and the wild animals is also studied and are discussed in detail.","container-title":"International Journal of Research in Agriculture and Forestry","issue":"5","language":"en","page":"24-42","source":"Zotero","title":"Factors Mitigating Man-Animal Encounters in Tamil Nadu – A Case Study","volume":"5","author":[{"family":"Sekhar","given":"C"},{"family":"Ganesan","given":"V"},{"family":"Baranidharan","given":"K"}],"issued":{"date-parts":[["2018"]]}},"locator":"40"}],"schema":"https://github.com/citation-style-language/schema/raw/master/csl-citation.json"} </w:instrText>
      </w:r>
      <w:r>
        <w:fldChar w:fldCharType="separate"/>
      </w:r>
      <w:r w:rsidRPr="00772953">
        <w:rPr>
          <w:rFonts w:cs="Times"/>
        </w:rPr>
        <w:t xml:space="preserve">(Sekhar, Ganesan, and </w:t>
      </w:r>
      <w:proofErr w:type="spellStart"/>
      <w:r w:rsidRPr="00772953">
        <w:rPr>
          <w:rFonts w:cs="Times"/>
        </w:rPr>
        <w:t>Baranidharan</w:t>
      </w:r>
      <w:proofErr w:type="spellEnd"/>
      <w:r w:rsidRPr="00772953">
        <w:rPr>
          <w:rFonts w:cs="Times"/>
        </w:rPr>
        <w:t xml:space="preserve"> 2018, 40)</w:t>
      </w:r>
      <w:r>
        <w:fldChar w:fldCharType="end"/>
      </w:r>
      <w:r>
        <w:t>.</w:t>
      </w:r>
      <w:r w:rsidR="00A453D9">
        <w:t xml:space="preserve"> </w:t>
      </w:r>
    </w:p>
    <w:p w14:paraId="05805C61" w14:textId="77777777" w:rsidR="00772953" w:rsidRDefault="00772953" w:rsidP="00772953">
      <w:pPr>
        <w:pStyle w:val="Heading3"/>
      </w:pPr>
      <w:r>
        <w:lastRenderedPageBreak/>
        <w:t xml:space="preserve">It is important to </w:t>
      </w:r>
      <w:r w:rsidR="007B64FD">
        <w:t>be clear about the place, role of animals in Biblical perspective.</w:t>
      </w:r>
    </w:p>
    <w:p w14:paraId="2864B5C1" w14:textId="64DB21E4" w:rsidR="007B64FD" w:rsidRDefault="007B64FD" w:rsidP="007B64FD">
      <w:pPr>
        <w:pStyle w:val="Heading3"/>
      </w:pPr>
      <w:r>
        <w:t>The best place would be to find out what the Bible says about God the creator of the world.</w:t>
      </w:r>
    </w:p>
    <w:p w14:paraId="45B014B3" w14:textId="77777777" w:rsidR="00002F73" w:rsidRPr="00002F73" w:rsidRDefault="00002F73" w:rsidP="00002F73">
      <w:pPr>
        <w:pStyle w:val="Heading1"/>
      </w:pPr>
    </w:p>
    <w:p w14:paraId="40638BBE" w14:textId="63B3BBCA" w:rsidR="00002F73" w:rsidRDefault="00002F73" w:rsidP="00002F73">
      <w:pPr>
        <w:pStyle w:val="Heading1"/>
      </w:pPr>
      <w:r>
        <w:t>The Earth and its Fulness Belongs to the Lord.</w:t>
      </w:r>
    </w:p>
    <w:p w14:paraId="01381379" w14:textId="7407058C" w:rsidR="00002F73" w:rsidRPr="00002F73" w:rsidRDefault="00002F73" w:rsidP="009354DB">
      <w:pPr>
        <w:pStyle w:val="Heading2"/>
      </w:pPr>
      <w:r>
        <w:t>Creation Theologies</w:t>
      </w:r>
    </w:p>
    <w:p w14:paraId="0EAB7BA9" w14:textId="77777777" w:rsidR="00002F73" w:rsidRPr="00002F73" w:rsidRDefault="00002F73" w:rsidP="00002F73"/>
    <w:p w14:paraId="2EC15C51" w14:textId="150905E6" w:rsidR="00002F73" w:rsidRDefault="00002F73" w:rsidP="00002F73">
      <w:pPr>
        <w:pStyle w:val="Heading1"/>
      </w:pPr>
      <w:r>
        <w:t>Human beings are custodians of the created order.</w:t>
      </w:r>
    </w:p>
    <w:p w14:paraId="1634021A" w14:textId="05068A9C" w:rsidR="00002F73" w:rsidRPr="00002F73" w:rsidRDefault="00002F73" w:rsidP="009354DB">
      <w:pPr>
        <w:pStyle w:val="Heading2"/>
      </w:pPr>
      <w:r>
        <w:t>Human responsibility and animal rights.</w:t>
      </w:r>
    </w:p>
    <w:p w14:paraId="3A9D6FA6" w14:textId="77777777" w:rsidR="00C21847" w:rsidRDefault="00C21847">
      <w:pPr>
        <w:pStyle w:val="Heading1"/>
      </w:pPr>
      <w:r>
        <w:t>God of Creation</w:t>
      </w:r>
    </w:p>
    <w:p w14:paraId="44D11888" w14:textId="77777777" w:rsidR="007B64FD" w:rsidRDefault="00C21847" w:rsidP="007B64FD">
      <w:r>
        <w:t xml:space="preserve">In the Old Testament understanding, creation is considered a special act of God; it is not a routine task or the consequence of any other divine act. </w:t>
      </w:r>
      <w:r w:rsidR="007B64FD">
        <w:t xml:space="preserve">The Bible opens with the statement that, “in the beginning, God created the heavens and the earth” (Gen 1:1, ESV). The Biblical account of God’s dealings with the world begins with creation. Creation is not the consequence, but it is the first event in history. </w:t>
      </w:r>
    </w:p>
    <w:p w14:paraId="24A70275" w14:textId="77777777" w:rsidR="007B64FD" w:rsidRDefault="00C21847" w:rsidP="007B64FD">
      <w:pPr>
        <w:pStyle w:val="Heading3"/>
      </w:pPr>
      <w:r>
        <w:lastRenderedPageBreak/>
        <w:t xml:space="preserve">Unlike the contemporary religious traditions, in the Old Testament thinking it is the creator and not the creation that takes precedence. </w:t>
      </w:r>
    </w:p>
    <w:p w14:paraId="36160F4E" w14:textId="77777777" w:rsidR="007B64FD" w:rsidRPr="007B64FD" w:rsidRDefault="007B64FD" w:rsidP="007B64FD">
      <w:r>
        <w:t>Creation theology of the Old Testament is thus very much God-centred in its content, nature, and relationship to other aspects of Israel’s faith. Moreover, the monotheistic faith of Old Testament has implications for its understanding of God as creator.</w:t>
      </w:r>
    </w:p>
    <w:p w14:paraId="07560426" w14:textId="77777777" w:rsidR="007B64FD" w:rsidRDefault="00C21847" w:rsidP="007B64FD">
      <w:r>
        <w:t xml:space="preserve">Even when the first fruits are offered to the Lord what occupies the Israelite mind is not the fruits themselves or the nature that has favoured them, but the acts of Yahweh in redeeming her from bondage and who has given them a land flowing with milk and honey. </w:t>
      </w:r>
    </w:p>
    <w:p w14:paraId="09E9CCFF" w14:textId="77777777" w:rsidR="007B64FD" w:rsidRDefault="00C21847" w:rsidP="007B64FD">
      <w:r>
        <w:t>The Old Testament does not support the view that Israel ever celebrated a festival that commemorated the creation of the world or anything that focused exclusively on nature.</w:t>
      </w:r>
    </w:p>
    <w:p w14:paraId="696A0609" w14:textId="77777777" w:rsidR="00C21847" w:rsidRDefault="00C21847" w:rsidP="007B64FD">
      <w:r>
        <w:t xml:space="preserve">Its cult had no place to celebrate the mythology of creation. There was no ritual to </w:t>
      </w:r>
      <w:proofErr w:type="spellStart"/>
      <w:r>
        <w:t>reenact</w:t>
      </w:r>
      <w:proofErr w:type="spellEnd"/>
      <w:r>
        <w:t xml:space="preserve"> the mythological drama. Moreover, if there were any ritual that had to do with nature, it was celebrating the creator.</w:t>
      </w:r>
    </w:p>
    <w:p w14:paraId="23767857" w14:textId="77777777" w:rsidR="00C21847" w:rsidRDefault="007B64FD" w:rsidP="007B64FD">
      <w:pPr>
        <w:pStyle w:val="Heading3"/>
      </w:pPr>
      <w:r>
        <w:t>Creation theology of the Bible is monotheistic.</w:t>
      </w:r>
    </w:p>
    <w:p w14:paraId="12F358C1" w14:textId="77777777" w:rsidR="0008090B" w:rsidRDefault="00C21847" w:rsidP="0008090B">
      <w:r>
        <w:t xml:space="preserve">Other ANE creation accounts presume polytheistic beliefs. For example, in the Babylonian story of creation, it is the struggle between </w:t>
      </w:r>
      <w:proofErr w:type="gramStart"/>
      <w:r>
        <w:t>god</w:t>
      </w:r>
      <w:proofErr w:type="gramEnd"/>
      <w:r>
        <w:t xml:space="preserve"> </w:t>
      </w:r>
      <w:proofErr w:type="spellStart"/>
      <w:r>
        <w:t>Marduk</w:t>
      </w:r>
      <w:proofErr w:type="spellEnd"/>
      <w:r>
        <w:t xml:space="preserve"> and the goddess of chaos Tiamat that resulted in the creation.</w:t>
      </w:r>
    </w:p>
    <w:p w14:paraId="1CA0B1F7" w14:textId="77777777" w:rsidR="00C21847" w:rsidRDefault="00C21847" w:rsidP="000241AC">
      <w:r>
        <w:t>As far as the Old Testament creat</w:t>
      </w:r>
      <w:r w:rsidR="0008090B">
        <w:t>i</w:t>
      </w:r>
      <w:r>
        <w:t xml:space="preserve">on faith is concerned, there are no mythical personalities involved in a conflict in the creation of the world, nor the world is </w:t>
      </w:r>
      <w:r>
        <w:lastRenderedPageBreak/>
        <w:t>the result of a divine procreation. In the Biblical account of creation there is only one person involved, who performed the act of creation all by himself.</w:t>
      </w:r>
    </w:p>
    <w:p w14:paraId="5BD82001" w14:textId="77777777" w:rsidR="00C21847" w:rsidRDefault="00C21847" w:rsidP="009354DB">
      <w:pPr>
        <w:pStyle w:val="Heading2"/>
      </w:pPr>
      <w:r>
        <w:t>Creation and Sovereignty of God</w:t>
      </w:r>
    </w:p>
    <w:p w14:paraId="0D50A6F3" w14:textId="77777777" w:rsidR="0008090B" w:rsidRDefault="0008090B" w:rsidP="0008090B">
      <w:pPr>
        <w:pStyle w:val="Heading3"/>
      </w:pPr>
      <w:r>
        <w:t xml:space="preserve">The idea that God created “by the word” expresses the absolute independence of God in the act of creation. </w:t>
      </w:r>
    </w:p>
    <w:p w14:paraId="6A2170EC" w14:textId="77777777" w:rsidR="00C21847" w:rsidRDefault="00C21847" w:rsidP="0008090B">
      <w:r>
        <w:t xml:space="preserve">The possibility (or need) for the involvement of other gods is avoided by the affirmation that God created </w:t>
      </w:r>
      <w:r w:rsidR="0008090B">
        <w:t>“</w:t>
      </w:r>
      <w:r>
        <w:t>by his word.</w:t>
      </w:r>
      <w:r w:rsidR="0008090B">
        <w:t>”</w:t>
      </w:r>
      <w:r>
        <w:t xml:space="preserve"> The creation account of Genesis God’s command is introduced by the formula, </w:t>
      </w:r>
      <w:r w:rsidR="0008090B">
        <w:t>“</w:t>
      </w:r>
      <w:r>
        <w:t>let … bring forth …</w:t>
      </w:r>
      <w:r w:rsidR="0008090B">
        <w:t>”</w:t>
      </w:r>
      <w:r>
        <w:t xml:space="preserve"> and it was brought forth. Except in the case of human beings all other members of creation are the result of the word of God. </w:t>
      </w:r>
    </w:p>
    <w:p w14:paraId="1FF5F3DD" w14:textId="77777777" w:rsidR="00C21847" w:rsidRDefault="00C21847" w:rsidP="0008090B">
      <w:r>
        <w:t xml:space="preserve">This aspect of creation is unique and establishes two important </w:t>
      </w:r>
      <w:proofErr w:type="gramStart"/>
      <w:r>
        <w:t>aspect</w:t>
      </w:r>
      <w:proofErr w:type="gramEnd"/>
      <w:r>
        <w:t xml:space="preserve"> of the Old Testament theology of creation. First, God is solely responsible for creation and does not share the credit with anyone. Second, the whole of the created order belongs to God and He is sovereign over nature. These themes echo throughout the Old Testament especially in the Psalms:</w:t>
      </w:r>
      <w:r w:rsidR="0008090B">
        <w:t xml:space="preserve"> “The earth is the LORD's and the fullness thereof, the world and those who dwell therein, for he has founded it upon the seas</w:t>
      </w:r>
      <w:r w:rsidR="0008090B">
        <w:br/>
        <w:t>and established it upon the rivers” (Psa 24:1—2)</w:t>
      </w:r>
      <w:r>
        <w:t xml:space="preserve">. </w:t>
      </w:r>
    </w:p>
    <w:p w14:paraId="39992EDE" w14:textId="77777777" w:rsidR="00C21847" w:rsidRDefault="00C21847" w:rsidP="0008090B">
      <w:pPr>
        <w:pStyle w:val="Heading3"/>
      </w:pPr>
      <w:r>
        <w:t>It is to be noted that the God’s ownership is extended to the whole of nature and all who inhabit earth (human being included).</w:t>
      </w:r>
    </w:p>
    <w:p w14:paraId="44A7BC5C" w14:textId="77777777" w:rsidR="00C21847" w:rsidRDefault="00C21847">
      <w:r>
        <w:t xml:space="preserve">The implication of a monotheistic faith is that there is only one God who is control of the entire eco-system of the planet earth. The responsibility and the concern are not shared with other deities, nor delegated to anyone. </w:t>
      </w:r>
    </w:p>
    <w:p w14:paraId="71F1FAB9" w14:textId="77777777" w:rsidR="00C21847" w:rsidRDefault="00C21847">
      <w:r>
        <w:lastRenderedPageBreak/>
        <w:t>Ps. 104 is one of the important sources of the Old Testament understanding of creation. Here, Yahweh the creator is the father figure on whom alone everything depends. Allen describes:</w:t>
      </w:r>
    </w:p>
    <w:p w14:paraId="6B2C7B39" w14:textId="77777777" w:rsidR="00C21847" w:rsidRDefault="00C21847">
      <w:pPr>
        <w:pStyle w:val="Quotation"/>
      </w:pPr>
      <w:r>
        <w:t xml:space="preserve">All creatures, great and small, depend upon Yahweh. The psalmist develops most fully in </w:t>
      </w:r>
      <w:proofErr w:type="spellStart"/>
      <w:r>
        <w:t>vv</w:t>
      </w:r>
      <w:proofErr w:type="spellEnd"/>
      <w:r>
        <w:t> 27-30 the theme of divine sustenance. God is their father-figure, and they are members of his extended family. They are at the mercy of his outstretched hand or averted face.</w:t>
      </w:r>
      <w:r>
        <w:rPr>
          <w:rStyle w:val="EndnoteCharacters"/>
        </w:rPr>
        <w:endnoteReference w:id="1"/>
      </w:r>
    </w:p>
    <w:p w14:paraId="248028D4" w14:textId="77777777" w:rsidR="0008090B" w:rsidRDefault="00C21847" w:rsidP="0008090B">
      <w:pPr>
        <w:pStyle w:val="Heading3"/>
      </w:pPr>
      <w:r>
        <w:t xml:space="preserve">The God-centredness of the creation theology is seen reflected in other traditions as well. </w:t>
      </w:r>
    </w:p>
    <w:p w14:paraId="63AB0EE0" w14:textId="77777777" w:rsidR="00C21847" w:rsidRDefault="00C21847">
      <w:r>
        <w:t xml:space="preserve">Laws regarding the sale, purchase and maintenance of land has </w:t>
      </w:r>
      <w:proofErr w:type="spellStart"/>
      <w:r>
        <w:t>explicity</w:t>
      </w:r>
      <w:proofErr w:type="spellEnd"/>
      <w:r>
        <w:t xml:space="preserve"> stress on the ownership of Yahweh. The prohibition of perpetual sale of the land is on the ground that it belongs to God: ‘The land shall not be sold in perpetuity, for the land is mine; with me you are but aliens and tenants.’</w:t>
      </w:r>
      <w:r>
        <w:rPr>
          <w:rStyle w:val="EndnoteCharacters"/>
        </w:rPr>
        <w:endnoteReference w:id="2"/>
      </w:r>
    </w:p>
    <w:p w14:paraId="34669A9E" w14:textId="77777777" w:rsidR="00C21847" w:rsidRDefault="00C21847">
      <w:pPr>
        <w:pStyle w:val="Heading1"/>
      </w:pPr>
      <w:r>
        <w:t>The Earth-centredness of Creation Theology</w:t>
      </w:r>
    </w:p>
    <w:p w14:paraId="5F4660CF" w14:textId="77777777" w:rsidR="00C21847" w:rsidRDefault="00C21847">
      <w:r>
        <w:t>The OT creation accounts are primarily about the creation of the earth and its contents. This is very evident in the creation accounts of Genesis where God’s activity of creation is more earth oriented. The narrator does not describe the creation of anything other than the earth and what is in it. The mention on heaven and the celestial bodies is in relation to earth; they are there to regulate life on earth.</w:t>
      </w:r>
      <w:r>
        <w:rPr>
          <w:rStyle w:val="EndnoteCharacters"/>
        </w:rPr>
        <w:endnoteReference w:id="3"/>
      </w:r>
    </w:p>
    <w:p w14:paraId="29FCD4FE" w14:textId="77777777" w:rsidR="00C21847" w:rsidRDefault="00C21847">
      <w:r>
        <w:t xml:space="preserve">This does not overlook the fact that the Second Isaiah in his polemic against idols does ascribe the creation and control of the cosmic order including the </w:t>
      </w:r>
      <w:proofErr w:type="spellStart"/>
      <w:r>
        <w:t>celestal</w:t>
      </w:r>
      <w:proofErr w:type="spellEnd"/>
      <w:r>
        <w:t xml:space="preserve"> bodies to Yahweh.</w:t>
      </w:r>
      <w:r>
        <w:rPr>
          <w:rStyle w:val="EndnoteCharacters"/>
        </w:rPr>
        <w:endnoteReference w:id="4"/>
      </w:r>
      <w:r>
        <w:t xml:space="preserve"> This is more a polemic necessity than an integral part of creation theology. According to the Babylonian accounts of creation, the celestial bodies are not the creation of </w:t>
      </w:r>
      <w:proofErr w:type="spellStart"/>
      <w:r>
        <w:t>Marduk</w:t>
      </w:r>
      <w:proofErr w:type="spellEnd"/>
      <w:r>
        <w:t xml:space="preserve"> but they gods. It is a ‘committee of gods’</w:t>
      </w:r>
      <w:r>
        <w:rPr>
          <w:rStyle w:val="EndnoteCharacters"/>
        </w:rPr>
        <w:endnoteReference w:id="5"/>
      </w:r>
      <w:r>
        <w:t xml:space="preserve"> in</w:t>
      </w:r>
      <w:r>
        <w:lastRenderedPageBreak/>
        <w:t xml:space="preserve">cluding these heavenly bodies who appointed </w:t>
      </w:r>
      <w:proofErr w:type="spellStart"/>
      <w:r>
        <w:t>Marduk</w:t>
      </w:r>
      <w:proofErr w:type="spellEnd"/>
      <w:r>
        <w:t xml:space="preserve"> as monarch. Second Isaiah’s interest here is not creation but establishing the sovereignty of Yahweh over the so called ‘gods’ of Babylon.</w:t>
      </w:r>
    </w:p>
    <w:p w14:paraId="6383EE69" w14:textId="77777777" w:rsidR="00C21847" w:rsidRDefault="00C21847">
      <w:r>
        <w:t xml:space="preserve">The creation story of Genesis takes place in two movements both being ‘earth-centred.’ In the first (the first three days) the earth is made habitable by the appearance of plants and trees while in the second move the animals and human beings to fill this earth are created. This </w:t>
      </w:r>
      <w:proofErr w:type="gramStart"/>
      <w:r>
        <w:t>so called</w:t>
      </w:r>
      <w:proofErr w:type="gramEnd"/>
      <w:r>
        <w:t xml:space="preserve"> earth-centredness can be taken as having ecological emphasis.  Anderson comments,</w:t>
      </w:r>
    </w:p>
    <w:p w14:paraId="575E1FB0" w14:textId="77777777" w:rsidR="00C21847" w:rsidRDefault="00C21847">
      <w:pPr>
        <w:pStyle w:val="Quotation"/>
      </w:pPr>
      <w:r>
        <w:t>In view of the overall pattern of the account, it is apparent that the emphasis falls not so much on anthropology, that is, the supremacy of humanity, as on ecology, that is, the earthly habitation which human beings share with other forms of ‘living being’ (</w:t>
      </w:r>
      <w:proofErr w:type="spellStart"/>
      <w:r>
        <w:rPr>
          <w:rFonts w:ascii="Transliterate" w:eastAsia="Transliterate" w:hAnsi="Transliterate" w:cs="Transliterate"/>
        </w:rPr>
        <w:t>nefesh</w:t>
      </w:r>
      <w:proofErr w:type="spellEnd"/>
      <w:r>
        <w:rPr>
          <w:rFonts w:ascii="Transliterate" w:eastAsia="Transliterate" w:hAnsi="Transliterate" w:cs="Transliterate"/>
        </w:rPr>
        <w:t xml:space="preserve"> </w:t>
      </w:r>
      <w:proofErr w:type="spellStart"/>
      <w:r>
        <w:rPr>
          <w:rFonts w:ascii="Transliterate" w:eastAsia="Transliterate" w:hAnsi="Transliterate" w:cs="Transliterate"/>
        </w:rPr>
        <w:t>ÁayyaŒ</w:t>
      </w:r>
      <w:proofErr w:type="spellEnd"/>
      <w:r>
        <w:t>).’</w:t>
      </w:r>
      <w:r>
        <w:rPr>
          <w:rStyle w:val="EndnoteCharacters"/>
        </w:rPr>
        <w:endnoteReference w:id="6"/>
      </w:r>
    </w:p>
    <w:p w14:paraId="50F29235" w14:textId="77777777" w:rsidR="00C21847" w:rsidRDefault="00C21847">
      <w:r>
        <w:t>This focus on earth and all that is in earth is a distinct feature of the Genesis account of creation. The context of man’s creation is very much ‘this worldly.’</w:t>
      </w:r>
    </w:p>
    <w:p w14:paraId="04DFCAFB" w14:textId="77777777" w:rsidR="00C21847" w:rsidRDefault="00C21847">
      <w:r>
        <w:t xml:space="preserve">This earth centredness of the creation theology is evident in the role of the skies in the creation story. ‘In the beginning when God created the heavens and the earth’ that is to be inhabited later step by step. In this act of populating, earth brings forth its occupants— the vegetation and the living creatures. The </w:t>
      </w:r>
      <w:proofErr w:type="gramStart"/>
      <w:r>
        <w:t>waters</w:t>
      </w:r>
      <w:proofErr w:type="gramEnd"/>
      <w:r>
        <w:t xml:space="preserve"> of the earth brings forth aquatic life and birds of the air! The skies do not produce anything; they just witness the waters producing birds along with creatures living in the </w:t>
      </w:r>
      <w:proofErr w:type="gramStart"/>
      <w:r>
        <w:t>water..</w:t>
      </w:r>
      <w:proofErr w:type="gramEnd"/>
      <w:r>
        <w:rPr>
          <w:rStyle w:val="EndnoteCharacters"/>
        </w:rPr>
        <w:endnoteReference w:id="7"/>
      </w:r>
    </w:p>
    <w:p w14:paraId="187ABCDA" w14:textId="77777777" w:rsidR="00C21847" w:rsidRDefault="00C21847">
      <w:r>
        <w:t xml:space="preserve">As it has been noted earlier another important passage that requires mention in connection with the creation theology of Old Testament is Psalm 104. The </w:t>
      </w:r>
      <w:r>
        <w:lastRenderedPageBreak/>
        <w:t xml:space="preserve">earth-centredness of creation is even more evident here than anywhere else in the Bible. Here also Sun and Moon are mentioned but only as something to mark the days and the seasons. The main </w:t>
      </w:r>
      <w:proofErr w:type="gramStart"/>
      <w:r>
        <w:t>emphasis  is</w:t>
      </w:r>
      <w:proofErr w:type="gramEnd"/>
      <w:r>
        <w:t xml:space="preserve"> on the earth which Yahweh has established ‘on its foundations.’ Then there is the provision of springs for the wild animals to drink from and for watering the ‘trees of Yahweh’ and to make the grass and plants to grow.</w:t>
      </w:r>
      <w:r>
        <w:rPr>
          <w:rStyle w:val="EndnoteCharacters"/>
        </w:rPr>
        <w:endnoteReference w:id="8"/>
      </w:r>
      <w:r>
        <w:t xml:space="preserve"> Then this earth that is so taken care of by Yahweh is the place for trees to grow up which gives the birds a place to roost on, the mountains for the wild goats. The total eco-system (the land, the animals, the plants, clouds and streams, mountains and valleys, the </w:t>
      </w:r>
      <w:proofErr w:type="gramStart"/>
      <w:r>
        <w:t>sea</w:t>
      </w:r>
      <w:proofErr w:type="gramEnd"/>
      <w:r>
        <w:t xml:space="preserve"> and the creatures of the sea, etc) is reflected in this Psalm; all due to the creative will of God. The earth and all that are in it are thus the dominant theme of the Psalmist who reflects on God’s creation.</w:t>
      </w:r>
    </w:p>
    <w:p w14:paraId="37ABBD7B" w14:textId="77777777" w:rsidR="00C21847" w:rsidRDefault="00C21847">
      <w:r>
        <w:t>Kraus brings out vividly the thrust of divine involvement in the earthly matters as we find it in this Psalm:</w:t>
      </w:r>
    </w:p>
    <w:p w14:paraId="5290D9B2" w14:textId="77777777" w:rsidR="00C21847" w:rsidRDefault="00C21847">
      <w:pPr>
        <w:pStyle w:val="Quotation"/>
      </w:pPr>
      <w:r>
        <w:t>Yahweh creates the world like a master builder; he ‘lays the beams’ of his heavenly dwelling. Like a family father, he stretches the tent of roof. Like a field general, he thunders at the primeval waters— they flee. Like a farm manager, he leads the quickening waters to the living beings and the fields. Like the father of the household, he distributes his goods and gifts.</w:t>
      </w:r>
      <w:r>
        <w:rPr>
          <w:rStyle w:val="EndnoteCharacters"/>
        </w:rPr>
        <w:endnoteReference w:id="9"/>
      </w:r>
    </w:p>
    <w:p w14:paraId="19FC5C7B" w14:textId="77777777" w:rsidR="00C21847" w:rsidRDefault="00C21847">
      <w:r>
        <w:t>The psalmist presents a creator God who very much indulges in the affairs of this earthly ball. The earth and all God’s creation thus get the sole attention of the creator to a highest degree.</w:t>
      </w:r>
    </w:p>
    <w:p w14:paraId="017493DC" w14:textId="77777777" w:rsidR="00C21847" w:rsidRDefault="00C21847">
      <w:r>
        <w:t xml:space="preserve">It is thus evident that the creation theology of the Old Testament is clearly focused on the inhabited earth rather than the </w:t>
      </w:r>
      <w:proofErr w:type="gramStart"/>
      <w:r>
        <w:t>cosmos as a whole</w:t>
      </w:r>
      <w:proofErr w:type="gramEnd"/>
      <w:r>
        <w:t>.</w:t>
      </w:r>
    </w:p>
    <w:p w14:paraId="705902BC" w14:textId="77777777" w:rsidR="00C21847" w:rsidRDefault="00C21847">
      <w:pPr>
        <w:pStyle w:val="Heading1"/>
      </w:pPr>
      <w:r>
        <w:lastRenderedPageBreak/>
        <w:t>Man in Relation to Creation</w:t>
      </w:r>
    </w:p>
    <w:p w14:paraId="21CADFC2" w14:textId="77777777" w:rsidR="00C21847" w:rsidRDefault="00C21847" w:rsidP="009354DB">
      <w:pPr>
        <w:pStyle w:val="Heading2"/>
      </w:pPr>
      <w:r>
        <w:t>Derived Authority</w:t>
      </w:r>
    </w:p>
    <w:p w14:paraId="7EF6E56C" w14:textId="77777777" w:rsidR="00C21847" w:rsidRDefault="00C21847"/>
    <w:p w14:paraId="60CC592B" w14:textId="77777777" w:rsidR="00C21847" w:rsidRDefault="00C21847" w:rsidP="009354DB">
      <w:pPr>
        <w:pStyle w:val="Heading2"/>
      </w:pPr>
      <w:r>
        <w:t>Role in Creation</w:t>
      </w:r>
    </w:p>
    <w:p w14:paraId="1A85A70E" w14:textId="77777777" w:rsidR="00C21847" w:rsidRDefault="00C21847">
      <w:r>
        <w:t xml:space="preserve">If creation is not the consequence of the conflict between gods and if it is not the primary purpose of </w:t>
      </w:r>
      <w:proofErr w:type="gramStart"/>
      <w:r>
        <w:t>God</w:t>
      </w:r>
      <w:proofErr w:type="gramEnd"/>
      <w:r>
        <w:t xml:space="preserve"> why did he ever create anything. Gerhard von Rad has </w:t>
      </w:r>
      <w:proofErr w:type="gramStart"/>
      <w:r>
        <w:t>made the observation</w:t>
      </w:r>
      <w:proofErr w:type="gramEnd"/>
      <w:r>
        <w:t xml:space="preserve"> that creation theology of Old Testament does not have an independent existence; it ‘has only an ancillary function.’</w:t>
      </w:r>
      <w:bookmarkStart w:id="0" w:name="_Ref378996041"/>
      <w:r>
        <w:rPr>
          <w:rStyle w:val="EndnoteCharacters"/>
        </w:rPr>
        <w:endnoteReference w:id="10"/>
      </w:r>
      <w:bookmarkEnd w:id="0"/>
      <w:r>
        <w:t xml:space="preserve"> It is always in relation to the salvation history because it is a requisite of the salvation history not vice versa. Similarly, Anderson also suggests that creation is for the purpose of God’s covenant with Israel.</w:t>
      </w:r>
      <w:r>
        <w:rPr>
          <w:rStyle w:val="EndnoteCharacters"/>
        </w:rPr>
        <w:endnoteReference w:id="11"/>
      </w:r>
      <w:r>
        <w:t xml:space="preserve"> It is the stage on which God’s redemptive activity is staged. God’s work needs creation, because God wants to work through the history of his people who are part of the creation of God. This overall theological emphasis implies that the whole purpose of creation is mankind.</w:t>
      </w:r>
    </w:p>
    <w:p w14:paraId="14669529" w14:textId="77777777" w:rsidR="00C21847" w:rsidRDefault="00C21847">
      <w:r>
        <w:t>It is this redemptive interest that makes the creation of humankind so special. The creation of human beings is indeed the climax of the creation activity of God as man is created at the end of the creation process.</w:t>
      </w:r>
    </w:p>
    <w:p w14:paraId="3E750DE7" w14:textId="77777777" w:rsidR="00C21847" w:rsidRDefault="00C21847">
      <w:r>
        <w:t>The way human beings are created is also special which brings it to a special focus in the creation narrative. According to the creation account of Genesis rest of the creation is ‘brought forth’; God asks the waters to bring forth aquatic life and birds and later the earth is commanded to ‘bring forth’ domestic animals, creeping things, and wild beasts.</w:t>
      </w:r>
      <w:r>
        <w:rPr>
          <w:rStyle w:val="EndnoteCharacters"/>
        </w:rPr>
        <w:endnoteReference w:id="12"/>
      </w:r>
      <w:r>
        <w:t xml:space="preserve"> It is after this three step creation whereby the whole of </w:t>
      </w:r>
      <w:r>
        <w:lastRenderedPageBreak/>
        <w:t xml:space="preserve">the created order is filled with vegetation and inhabited by the </w:t>
      </w:r>
      <w:r>
        <w:rPr>
          <w:i/>
          <w:iCs/>
        </w:rPr>
        <w:t>word</w:t>
      </w:r>
      <w:r>
        <w:t xml:space="preserve"> of God, that humans are created by an </w:t>
      </w:r>
      <w:r>
        <w:rPr>
          <w:i/>
          <w:iCs/>
        </w:rPr>
        <w:t>act</w:t>
      </w:r>
      <w:r>
        <w:t xml:space="preserve"> of God. According to the account in Genesis 2.7 ‘Then the LORD God formed man from the dust of the </w:t>
      </w:r>
      <w:proofErr w:type="gramStart"/>
      <w:r>
        <w:t>ground, and</w:t>
      </w:r>
      <w:proofErr w:type="gramEnd"/>
      <w:r>
        <w:t xml:space="preserve"> breathed into his nostrils the breath of life; and the man became a living being.’ The verb </w:t>
      </w:r>
      <w:proofErr w:type="spellStart"/>
      <w:r>
        <w:rPr>
          <w:rStyle w:val="SuperHebrew"/>
        </w:rPr>
        <w:t>rxy</w:t>
      </w:r>
      <w:proofErr w:type="spellEnd"/>
      <w:r>
        <w:t xml:space="preserve"> translated as ‘to form’ </w:t>
      </w:r>
      <w:proofErr w:type="gramStart"/>
      <w:r>
        <w:t>denotes  direct</w:t>
      </w:r>
      <w:proofErr w:type="gramEnd"/>
      <w:r>
        <w:t xml:space="preserve"> personal involvement.</w:t>
      </w:r>
    </w:p>
    <w:p w14:paraId="2BA31FC0" w14:textId="77777777" w:rsidR="00C21847" w:rsidRDefault="00C21847">
      <w:r>
        <w:t>In the earlier account which is usually considered to be from the Priestly redactor God ‘</w:t>
      </w:r>
      <w:proofErr w:type="spellStart"/>
      <w:r>
        <w:t>created’Man</w:t>
      </w:r>
      <w:proofErr w:type="spellEnd"/>
      <w:r>
        <w:t xml:space="preserve"> and Woman.</w:t>
      </w:r>
      <w:r>
        <w:rPr>
          <w:rStyle w:val="EndnoteCharacters"/>
        </w:rPr>
        <w:endnoteReference w:id="13"/>
      </w:r>
      <w:r>
        <w:t xml:space="preserve"> It has to be recalled that the word ‘create’ (</w:t>
      </w:r>
      <w:proofErr w:type="spellStart"/>
      <w:proofErr w:type="gramStart"/>
      <w:r>
        <w:rPr>
          <w:rStyle w:val="SuperHebrew"/>
        </w:rPr>
        <w:t>ar;b</w:t>
      </w:r>
      <w:proofErr w:type="spellEnd"/>
      <w:proofErr w:type="gramEnd"/>
      <w:r>
        <w:rPr>
          <w:rStyle w:val="SuperHebrew"/>
        </w:rPr>
        <w:t>;</w:t>
      </w:r>
      <w:r>
        <w:t>) used here is a word reserved for the creative activity of God. It is a special word for divine creation. Not only the Old Testament but Dead Sea Scrolls, and Ben Sirach also limits its semantic field to this aspect.</w:t>
      </w:r>
      <w:r>
        <w:rPr>
          <w:rStyle w:val="EndnoteCharacters"/>
        </w:rPr>
        <w:endnoteReference w:id="14"/>
      </w:r>
      <w:r>
        <w:t xml:space="preserve"> The other word OT reserves for God as subject is </w:t>
      </w:r>
      <w:proofErr w:type="spellStart"/>
      <w:r>
        <w:rPr>
          <w:rStyle w:val="SuperHebrew"/>
        </w:rPr>
        <w:t>jls</w:t>
      </w:r>
      <w:proofErr w:type="spellEnd"/>
      <w:r>
        <w:t xml:space="preserve"> that designates ‘divine forgiveness.’</w:t>
      </w:r>
    </w:p>
    <w:p w14:paraId="2C05D182" w14:textId="77777777" w:rsidR="00C21847" w:rsidRDefault="00C21847">
      <w:r>
        <w:t>Man is part of earth but his appearance on earth is not at the initiative of anything that is created before him but at the initiative of God himself.</w:t>
      </w:r>
    </w:p>
    <w:p w14:paraId="76432A03" w14:textId="77777777" w:rsidR="00C21847" w:rsidRDefault="00C21847">
      <w:r>
        <w:t xml:space="preserve">There are no clues given as to how many of each of the non-human species are brought forth but there is no pressing reason to assume that only one pair of each is brought forth. However, in the case of human beings it is clear that only one pair is </w:t>
      </w:r>
      <w:proofErr w:type="gramStart"/>
      <w:r>
        <w:t>created</w:t>
      </w:r>
      <w:proofErr w:type="gramEnd"/>
      <w:r>
        <w:t xml:space="preserve"> and they are intended to be the ancestors of the whole human race to follow. It is at their will to multiply and ensure the existence of their species.</w:t>
      </w:r>
    </w:p>
    <w:p w14:paraId="09AFA15D" w14:textId="77777777" w:rsidR="00C21847" w:rsidRDefault="00C21847">
      <w:r>
        <w:t xml:space="preserve">This purpose of God in creation is also evident in the role assigned to human beings. The Genesis account does not merely stop with God creating Man and letting him live. In Genesis we find however, though in very incipient form God’s concern that Man </w:t>
      </w:r>
      <w:proofErr w:type="gramStart"/>
      <w:r>
        <w:t>manage</w:t>
      </w:r>
      <w:proofErr w:type="gramEnd"/>
      <w:r>
        <w:t xml:space="preserve"> properly the creation that is entrusted to him as we find in what </w:t>
      </w:r>
      <w:proofErr w:type="spellStart"/>
      <w:r>
        <w:t>mdoern</w:t>
      </w:r>
      <w:proofErr w:type="spellEnd"/>
      <w:r>
        <w:t xml:space="preserve"> scholars call the J account of the creation story. Man was placed in </w:t>
      </w:r>
      <w:r>
        <w:lastRenderedPageBreak/>
        <w:t>the garden of Eden so that he will ‘till it and keep it.’</w:t>
      </w:r>
      <w:r>
        <w:rPr>
          <w:rStyle w:val="EndnoteCharacters"/>
        </w:rPr>
        <w:endnoteReference w:id="15"/>
      </w:r>
      <w:r>
        <w:t xml:space="preserve"> In the earlier account of creation (Gen. 1.26, 28), man is asked to ‘have dominion’ (</w:t>
      </w:r>
      <w:proofErr w:type="spellStart"/>
      <w:proofErr w:type="gramStart"/>
      <w:r>
        <w:rPr>
          <w:rStyle w:val="SuperHebrew"/>
        </w:rPr>
        <w:t>hd;r</w:t>
      </w:r>
      <w:proofErr w:type="spellEnd"/>
      <w:proofErr w:type="gramEnd"/>
      <w:r>
        <w:rPr>
          <w:rStyle w:val="SuperHebrew"/>
        </w:rPr>
        <w:t>;</w:t>
      </w:r>
      <w:r>
        <w:t xml:space="preserve">). It has been suggested that the word </w:t>
      </w:r>
      <w:proofErr w:type="spellStart"/>
      <w:proofErr w:type="gramStart"/>
      <w:r>
        <w:rPr>
          <w:rStyle w:val="SuperHebrew"/>
        </w:rPr>
        <w:t>hd;r</w:t>
      </w:r>
      <w:proofErr w:type="spellEnd"/>
      <w:proofErr w:type="gramEnd"/>
      <w:r>
        <w:rPr>
          <w:rStyle w:val="SuperHebrew"/>
        </w:rPr>
        <w:t>;</w:t>
      </w:r>
      <w:r>
        <w:t xml:space="preserve"> means ‘apportioning of a task, an ongoing task which would be well translated by the more modern word ‘manage.’</w:t>
      </w:r>
      <w:r>
        <w:rPr>
          <w:rStyle w:val="EndnoteCharacters"/>
        </w:rPr>
        <w:endnoteReference w:id="16"/>
      </w:r>
    </w:p>
    <w:p w14:paraId="31CE3265" w14:textId="77777777" w:rsidR="00C21847" w:rsidRDefault="00C21847">
      <w:r>
        <w:t xml:space="preserve">Man has full and </w:t>
      </w:r>
      <w:proofErr w:type="spellStart"/>
      <w:r>
        <w:t>independant</w:t>
      </w:r>
      <w:proofErr w:type="spellEnd"/>
      <w:r>
        <w:t xml:space="preserve"> responsibility to sustain the nature. Genesis 1.26-28 and 4.17-22 is considered as a polemic against ANE ideas that man is not </w:t>
      </w:r>
      <w:proofErr w:type="gramStart"/>
      <w:r>
        <w:t>created not</w:t>
      </w:r>
      <w:proofErr w:type="gramEnd"/>
      <w:r>
        <w:t xml:space="preserve"> to serve the gods, but to master, cultivate, and preserve the earth. According to Mesopotamian sources it is the seven sages who rose from the sea who taught men writing, agriculture and city-building. Genesis, however, talks of human achievement in all these areas by which man exercised his dominion over the earth.</w:t>
      </w:r>
      <w:r>
        <w:rPr>
          <w:rStyle w:val="EndnoteCharacters"/>
        </w:rPr>
        <w:endnoteReference w:id="17"/>
      </w:r>
    </w:p>
    <w:p w14:paraId="4E701CB7" w14:textId="77777777" w:rsidR="00C21847" w:rsidRDefault="00C21847">
      <w:r>
        <w:t xml:space="preserve">The position of humankind in God’s creation is not one of prominence but of guardianship as well. Adam is given the responsibility to manage the creation. According to Gen. 3.20 the woman is called Eve because she is the mother of all living things and not </w:t>
      </w:r>
      <w:r>
        <w:rPr>
          <w:rStyle w:val="SuperHebrew"/>
          <w:rFonts w:eastAsia="Times" w:cs="Times"/>
        </w:rPr>
        <w:t>just</w:t>
      </w:r>
      <w:r>
        <w:t xml:space="preserve"> of human beings.</w:t>
      </w:r>
      <w:r>
        <w:rPr>
          <w:rStyle w:val="EndnoteCharacters"/>
        </w:rPr>
        <w:endnoteReference w:id="18"/>
      </w:r>
      <w:r>
        <w:t xml:space="preserve"> This motherhood is clearly not biological but has to do with the special relationship or protecting and caring for the non-human members of the creation.</w:t>
      </w:r>
    </w:p>
    <w:p w14:paraId="3E0A7205" w14:textId="77777777" w:rsidR="00C21847" w:rsidRDefault="00C21847">
      <w:r>
        <w:t>The Psalmist makes this theme very explicit in one of his meditations on the Creator God.</w:t>
      </w:r>
    </w:p>
    <w:p w14:paraId="31C505FB" w14:textId="77777777" w:rsidR="00C21847" w:rsidRDefault="00C21847">
      <w:pPr>
        <w:pStyle w:val="Poetry"/>
      </w:pPr>
      <w:r>
        <w:t>May you be blessed by the LORD,</w:t>
      </w:r>
    </w:p>
    <w:p w14:paraId="6E8331B1" w14:textId="77777777" w:rsidR="00C21847" w:rsidRDefault="00C21847">
      <w:pPr>
        <w:pStyle w:val="Poetry"/>
      </w:pPr>
      <w:r>
        <w:tab/>
        <w:t>who made heaven and earth.</w:t>
      </w:r>
    </w:p>
    <w:p w14:paraId="3A164664" w14:textId="77777777" w:rsidR="00C21847" w:rsidRDefault="00C21847">
      <w:pPr>
        <w:pStyle w:val="Poetry"/>
      </w:pPr>
      <w:r>
        <w:t>The heavens are the LORD’s heavens,</w:t>
      </w:r>
    </w:p>
    <w:p w14:paraId="0397442C" w14:textId="77777777" w:rsidR="00C21847" w:rsidRDefault="00C21847">
      <w:pPr>
        <w:pStyle w:val="Poetry"/>
      </w:pPr>
      <w:r>
        <w:lastRenderedPageBreak/>
        <w:tab/>
        <w:t>but the earth he has given to human beings.</w:t>
      </w:r>
      <w:r>
        <w:rPr>
          <w:rStyle w:val="EndnoteCharacters"/>
        </w:rPr>
        <w:endnoteReference w:id="19"/>
      </w:r>
    </w:p>
    <w:p w14:paraId="5D1EF74B" w14:textId="77777777" w:rsidR="00C21847" w:rsidRDefault="00C21847">
      <w:r>
        <w:t xml:space="preserve">Man is entrusted with God’s world. It is not just that man is the most dominant creature in the whole of the creation but has an inescapable role in God’s plan of creation. The creation does not have an independent purpose or existence without man, because it is very much </w:t>
      </w:r>
      <w:proofErr w:type="spellStart"/>
      <w:r>
        <w:t>dependant</w:t>
      </w:r>
      <w:proofErr w:type="spellEnd"/>
      <w:r>
        <w:t xml:space="preserve"> upon human beings for </w:t>
      </w:r>
      <w:proofErr w:type="gramStart"/>
      <w:r>
        <w:t>its  existence</w:t>
      </w:r>
      <w:proofErr w:type="gramEnd"/>
      <w:r>
        <w:t xml:space="preserve"> and sustenance.</w:t>
      </w:r>
    </w:p>
    <w:p w14:paraId="0801D1A4" w14:textId="77777777" w:rsidR="00C21847" w:rsidRDefault="00C21847" w:rsidP="009354DB">
      <w:pPr>
        <w:pStyle w:val="Heading2"/>
      </w:pPr>
      <w:r>
        <w:t>The ‘Image of God’</w:t>
      </w:r>
    </w:p>
    <w:p w14:paraId="48D42871" w14:textId="77777777" w:rsidR="00C21847" w:rsidRDefault="00C21847">
      <w:r>
        <w:t xml:space="preserve">Another very important aspect of the Old Testament understanding of humankind is that it is created in the ‘image of God.’ It has been suggested that the preposition </w:t>
      </w:r>
      <w:r>
        <w:rPr>
          <w:rStyle w:val="SuperHebrew"/>
        </w:rPr>
        <w:t>b</w:t>
      </w:r>
      <w:r>
        <w:t xml:space="preserve"> in </w:t>
      </w:r>
      <w:proofErr w:type="spellStart"/>
      <w:proofErr w:type="gramStart"/>
      <w:r>
        <w:rPr>
          <w:rStyle w:val="SuperHebrew"/>
        </w:rPr>
        <w:t>Wnmel</w:t>
      </w:r>
      <w:proofErr w:type="spellEnd"/>
      <w:r>
        <w:rPr>
          <w:rStyle w:val="SuperHebrew"/>
        </w:rPr>
        <w:t>]</w:t>
      </w:r>
      <w:proofErr w:type="spellStart"/>
      <w:r>
        <w:rPr>
          <w:rStyle w:val="SuperHebrew"/>
        </w:rPr>
        <w:t>xæB</w:t>
      </w:r>
      <w:proofErr w:type="spellEnd"/>
      <w:proofErr w:type="gramEnd"/>
      <w:r>
        <w:rPr>
          <w:rStyle w:val="SuperHebrew"/>
        </w:rPr>
        <w:t>]</w:t>
      </w:r>
      <w:r>
        <w:t xml:space="preserve"> in Gen. 1.26 is to be taken as </w:t>
      </w:r>
      <w:r>
        <w:rPr>
          <w:i/>
          <w:iCs/>
        </w:rPr>
        <w:t xml:space="preserve">bet </w:t>
      </w:r>
      <w:proofErr w:type="spellStart"/>
      <w:r>
        <w:rPr>
          <w:i/>
          <w:iCs/>
        </w:rPr>
        <w:t>essentiae</w:t>
      </w:r>
      <w:proofErr w:type="spellEnd"/>
      <w:r>
        <w:t xml:space="preserve"> and accordingly to be translated as ‘as’ the image of God.</w:t>
      </w:r>
      <w:r>
        <w:rPr>
          <w:rStyle w:val="EndnoteCharacters"/>
        </w:rPr>
        <w:endnoteReference w:id="20"/>
      </w:r>
      <w:r>
        <w:t xml:space="preserve"> This would imply that man </w:t>
      </w:r>
      <w:r>
        <w:rPr>
          <w:i/>
          <w:iCs/>
        </w:rPr>
        <w:t>is</w:t>
      </w:r>
      <w:r>
        <w:t xml:space="preserve"> the image of God rather than man is made </w:t>
      </w:r>
      <w:r>
        <w:rPr>
          <w:i/>
          <w:iCs/>
        </w:rPr>
        <w:t>according</w:t>
      </w:r>
      <w:r>
        <w:t xml:space="preserve"> to the image of God.</w:t>
      </w:r>
    </w:p>
    <w:p w14:paraId="0E2042CF" w14:textId="77777777" w:rsidR="00C21847" w:rsidRDefault="00C21847">
      <w:r>
        <w:t xml:space="preserve">Various interpretations </w:t>
      </w:r>
      <w:proofErr w:type="gramStart"/>
      <w:r>
        <w:t>has</w:t>
      </w:r>
      <w:proofErr w:type="gramEnd"/>
      <w:r>
        <w:t xml:space="preserve"> been offered for this concept.</w:t>
      </w:r>
      <w:r>
        <w:rPr>
          <w:rStyle w:val="EndnoteCharacters"/>
        </w:rPr>
        <w:endnoteReference w:id="21"/>
      </w:r>
      <w:r>
        <w:t xml:space="preserve"> For Philo, Augustine, Calvin, etc. ‘Image of God’ meant that man has ‘spiritual qualities’ while Karl Barth and C. Westermann maintained that image of God means, ‘man as the counterpart of God.’ A third group of modern scholars have put forth a functional interpretation. Currently majority of scholars agree with the functional understanding of the concept ‘image of God.’ A typical representative of this group is von Rad who argues </w:t>
      </w:r>
      <w:proofErr w:type="gramStart"/>
      <w:r>
        <w:t>that,</w:t>
      </w:r>
      <w:proofErr w:type="gramEnd"/>
      <w:r>
        <w:t xml:space="preserve"> ‘the decisive thing about man’s similarity to God, therefore, is his function in the nonhuman world.’</w:t>
      </w:r>
      <w:r>
        <w:rPr>
          <w:rStyle w:val="EndnoteCharacters"/>
        </w:rPr>
        <w:endnoteReference w:id="22"/>
      </w:r>
    </w:p>
    <w:p w14:paraId="06AFA4D1" w14:textId="77777777" w:rsidR="00C21847" w:rsidRDefault="00C21847">
      <w:r>
        <w:t xml:space="preserve">The fact that man is made in the ‘image of God’ evidently sets them apart from other creatures. Image of God thus means special dignity and worth to all human beings. This is reinforced in the charge given to Noah after the flood— he is </w:t>
      </w:r>
      <w:r>
        <w:lastRenderedPageBreak/>
        <w:t xml:space="preserve">allowed to kill and eat other </w:t>
      </w:r>
      <w:proofErr w:type="gramStart"/>
      <w:r>
        <w:t>animals, but</w:t>
      </w:r>
      <w:proofErr w:type="gramEnd"/>
      <w:r>
        <w:t xml:space="preserve"> should not kill another person since ‘for in his own image God made humankind.’</w:t>
      </w:r>
      <w:r>
        <w:rPr>
          <w:rStyle w:val="EndnoteCharacters"/>
        </w:rPr>
        <w:endnoteReference w:id="23"/>
      </w:r>
      <w:r>
        <w:t xml:space="preserve"> Image of God thus indicate humanity’s predominant position among all that God has created.</w:t>
      </w:r>
    </w:p>
    <w:p w14:paraId="1B52A073" w14:textId="77777777" w:rsidR="00C21847" w:rsidRDefault="00C21847">
      <w:r>
        <w:t xml:space="preserve">Does ‘image of God’ mean physical resemblance? Sometimes, Gen. 5.3 which reports the birth of a son to Adam is invoked to support this view. The passage makes it explicit that the son is in his likeness and in his image. This is usually taken as to mean physical resemblance and has been expanded to include personality, self-determination, and rational thought. It has been often inferred from this </w:t>
      </w:r>
      <w:proofErr w:type="gramStart"/>
      <w:r>
        <w:t>that human beings</w:t>
      </w:r>
      <w:proofErr w:type="gramEnd"/>
      <w:r>
        <w:t xml:space="preserve"> analogous to God in some way. Since the relationship between Adam and his son is more fundamental than the physical resemblance, some interpreters have considered ‘image of God’ as the human capacity to relate to God.</w:t>
      </w:r>
    </w:p>
    <w:p w14:paraId="4BE209EF" w14:textId="77777777" w:rsidR="00C21847" w:rsidRDefault="00C21847">
      <w:r>
        <w:t xml:space="preserve">However, the interest of the narrator in this passage does not seem to suggest that there is physical resemblance or mental relationship between Adam and his son but to affirm that the </w:t>
      </w:r>
      <w:proofErr w:type="gramStart"/>
      <w:r>
        <w:t>human kind</w:t>
      </w:r>
      <w:proofErr w:type="gramEnd"/>
      <w:r>
        <w:t xml:space="preserve"> being in the ‘image of God’ continues through this son and to all mankind. This continuity from Adam is the ground of Gen. 9.6 where murder is prohibited on the ground that all human beings are in the ‘image of God.’ It is clear from the passage cited above (Gen. 5.3) that it is not only at creation but even after the fall human beings are in the image of God.</w:t>
      </w:r>
    </w:p>
    <w:p w14:paraId="39A3EB78" w14:textId="77777777" w:rsidR="00C21847" w:rsidRDefault="00C21847">
      <w:r>
        <w:t>The immediate context of Gen. 1.26-28 should guide us in determining the thrust of ‘image of God.’</w:t>
      </w:r>
    </w:p>
    <w:p w14:paraId="608D25AC" w14:textId="77777777" w:rsidR="00C21847" w:rsidRDefault="00C21847">
      <w:pPr>
        <w:pStyle w:val="Quotation"/>
      </w:pPr>
      <w:r>
        <w:t xml:space="preserve">Then God </w:t>
      </w:r>
      <w:proofErr w:type="gramStart"/>
      <w:r>
        <w:t>said,  “</w:t>
      </w:r>
      <w:proofErr w:type="gramEnd"/>
      <w:r>
        <w:t xml:space="preserve">Let us make humankind in our image, according to our likeness; and let them have dominion over the fish of the sea, and over the birds of the air, and over the </w:t>
      </w:r>
      <w:r>
        <w:lastRenderedPageBreak/>
        <w:t>cattle, and over all the wild animals of the earth, and over every creeping thing that creeps upon the earth.</w:t>
      </w:r>
      <w:r>
        <w:rPr>
          <w:rStyle w:val="EndnoteCharacters"/>
        </w:rPr>
        <w:endnoteReference w:id="24"/>
      </w:r>
    </w:p>
    <w:p w14:paraId="21EB117A" w14:textId="77777777" w:rsidR="00C21847" w:rsidRDefault="00C21847">
      <w:r>
        <w:t>The ‘image of God’ (</w:t>
      </w:r>
      <w:proofErr w:type="gramStart"/>
      <w:r>
        <w:t>i.e.</w:t>
      </w:r>
      <w:proofErr w:type="gramEnd"/>
      <w:r>
        <w:t xml:space="preserve"> human beings) is supposed to have ‘dominion’ (</w:t>
      </w:r>
      <w:proofErr w:type="spellStart"/>
      <w:r>
        <w:rPr>
          <w:rStyle w:val="SuperHebrew"/>
        </w:rPr>
        <w:t>hdr</w:t>
      </w:r>
      <w:proofErr w:type="spellEnd"/>
      <w:r>
        <w:t xml:space="preserve">) over the created order. It is very significant to note that this word is often used in the Old </w:t>
      </w:r>
      <w:proofErr w:type="gramStart"/>
      <w:r>
        <w:t>Testament  for</w:t>
      </w:r>
      <w:proofErr w:type="gramEnd"/>
      <w:r>
        <w:t xml:space="preserve"> royal reign in a number of passages.</w:t>
      </w:r>
      <w:r>
        <w:rPr>
          <w:rStyle w:val="EndnoteCharacters"/>
        </w:rPr>
        <w:endnoteReference w:id="25"/>
      </w:r>
    </w:p>
    <w:p w14:paraId="520A2E91" w14:textId="77777777" w:rsidR="00C21847" w:rsidRDefault="00C21847">
      <w:proofErr w:type="spellStart"/>
      <w:proofErr w:type="gramStart"/>
      <w:r>
        <w:t>Further more</w:t>
      </w:r>
      <w:proofErr w:type="spellEnd"/>
      <w:proofErr w:type="gramEnd"/>
      <w:r>
        <w:t xml:space="preserve"> it is well known that in the Ancient Near East kings are known as the ‘image of God.’ They represent God in the physical form. Moreover, it is customary in the ancient world for kings to erect their statues in the provinces of their empire as a royal emblem. Man as the ‘image of God’ is there to represent the best interests of God; he is the regent of God.</w:t>
      </w:r>
    </w:p>
    <w:p w14:paraId="6BA941D2" w14:textId="77777777" w:rsidR="00C21847" w:rsidRDefault="00C21847">
      <w:r>
        <w:t xml:space="preserve">The idea of ‘image of God’ is thus not one of resemblance or qualities but one that reflects status and responsibilities. Man is created in the image of God so that he has a special status as a royal representative. As Anderson has put it: ‘Those who have supposed that the </w:t>
      </w:r>
      <w:r>
        <w:rPr>
          <w:i/>
          <w:iCs/>
        </w:rPr>
        <w:t>imago Dei</w:t>
      </w:r>
      <w:r>
        <w:t xml:space="preserve"> entitles human beings to exploit and destroy the animals overlook the fact that the </w:t>
      </w:r>
      <w:r>
        <w:rPr>
          <w:rStyle w:val="Latin"/>
        </w:rPr>
        <w:t>dominium terrae</w:t>
      </w:r>
      <w:r>
        <w:t xml:space="preserve"> is a call to responsibility.’</w:t>
      </w:r>
      <w:r>
        <w:rPr>
          <w:rStyle w:val="EndnoteCharacters"/>
        </w:rPr>
        <w:endnoteReference w:id="26"/>
      </w:r>
      <w:r>
        <w:t xml:space="preserve"> The responsibility to manage the creation is delegated to him by God who owns the whole of creation.</w:t>
      </w:r>
    </w:p>
    <w:p w14:paraId="574F0AA0" w14:textId="77777777" w:rsidR="00C21847" w:rsidRDefault="00C21847">
      <w:r>
        <w:t>Curtis even suggests that the ‘image of God’ terminology perhaps had its origins in the royal ideology of the ancient Near East. Psalm 8 also uses similar royal terminology when it describes humanity’s place in the created order though it does not mention the term ‘image of God.’</w:t>
      </w:r>
      <w:r>
        <w:rPr>
          <w:rStyle w:val="EndnoteCharacters"/>
        </w:rPr>
        <w:endnoteReference w:id="27"/>
      </w:r>
    </w:p>
    <w:p w14:paraId="0E57875A" w14:textId="77777777" w:rsidR="00C21847" w:rsidRDefault="00C21847" w:rsidP="009354DB">
      <w:pPr>
        <w:pStyle w:val="Heading2"/>
      </w:pPr>
      <w:r>
        <w:lastRenderedPageBreak/>
        <w:t>The Regent of God</w:t>
      </w:r>
    </w:p>
    <w:p w14:paraId="4EF03866" w14:textId="77777777" w:rsidR="00C21847" w:rsidRDefault="00C21847">
      <w:pPr>
        <w:rPr>
          <w:lang w:val="en-US"/>
        </w:rPr>
      </w:pPr>
      <w:r>
        <w:t xml:space="preserve">The idea that man is created in the image of God means royal authority given to mankind. Man is a regent of God, who </w:t>
      </w:r>
      <w:proofErr w:type="gramStart"/>
      <w:r>
        <w:t>is in charge of</w:t>
      </w:r>
      <w:proofErr w:type="gramEnd"/>
      <w:r>
        <w:t xml:space="preserve"> God’s creation. </w:t>
      </w:r>
      <w:r>
        <w:rPr>
          <w:lang w:val="en-US"/>
        </w:rPr>
        <w:t>Dominion over creation is an immediate consequence of the image and not vice versa.</w:t>
      </w:r>
    </w:p>
    <w:p w14:paraId="70B07D70" w14:textId="77777777" w:rsidR="00C21847" w:rsidRDefault="00C21847">
      <w:pPr>
        <w:rPr>
          <w:rFonts w:eastAsia="Times" w:cs="Times"/>
        </w:rPr>
      </w:pPr>
      <w:r>
        <w:rPr>
          <w:lang w:val="en-US"/>
        </w:rPr>
        <w:t>Royal authority given to Man is seen beside the concept of ‘image of God’ in his act of naming other creatures— naming is one of the prerogatives of kings in the ancient orient.</w:t>
      </w:r>
      <w:r>
        <w:rPr>
          <w:rStyle w:val="EndnoteCharacters"/>
          <w:lang w:val="en-US"/>
        </w:rPr>
        <w:endnoteReference w:id="28"/>
      </w:r>
    </w:p>
    <w:p w14:paraId="3DC93077" w14:textId="77777777" w:rsidR="00C21847" w:rsidRDefault="00C21847">
      <w:r>
        <w:rPr>
          <w:rFonts w:eastAsia="Times" w:cs="Times"/>
        </w:rPr>
        <w:t>‘</w:t>
      </w:r>
      <w:r>
        <w:t xml:space="preserve">Subdue’ and ‘rule’ are the two words that creep into modern mind when royal authority is mentioned but this was far from the Israelite idea of kingship. Israelite kings did not have </w:t>
      </w:r>
      <w:proofErr w:type="gramStart"/>
      <w:r>
        <w:t>unrestricted  power</w:t>
      </w:r>
      <w:proofErr w:type="gramEnd"/>
      <w:r>
        <w:t xml:space="preserve"> but were controlled by the religious and social norms of the nation. It was customary that the elders of the land make a covenant with the new king and copy of the duties of the king was deposited in the sanctuary.</w:t>
      </w:r>
      <w:r>
        <w:rPr>
          <w:rStyle w:val="EndnoteCharacters"/>
        </w:rPr>
        <w:endnoteReference w:id="29"/>
      </w:r>
      <w:r>
        <w:t xml:space="preserve"> In acquiring land the king was bound by the laws as any other citizen. When Naboth refused to sell his land the Israelite king Ahab had no choice; as a king he </w:t>
      </w:r>
      <w:proofErr w:type="spellStart"/>
      <w:r>
        <w:t>can not</w:t>
      </w:r>
      <w:proofErr w:type="spellEnd"/>
      <w:r>
        <w:t xml:space="preserve"> either force Naboth to sell or confiscate his land.</w:t>
      </w:r>
      <w:r>
        <w:rPr>
          <w:rStyle w:val="EndnoteCharacters"/>
        </w:rPr>
        <w:endnoteReference w:id="30"/>
      </w:r>
      <w:r>
        <w:t xml:space="preserve"> At the same time the kings had to buy the property like any other person in the land. We see David buying the land from </w:t>
      </w:r>
      <w:proofErr w:type="spellStart"/>
      <w:r>
        <w:t>Araunah</w:t>
      </w:r>
      <w:proofErr w:type="spellEnd"/>
      <w:r>
        <w:t xml:space="preserve"> and </w:t>
      </w:r>
      <w:proofErr w:type="spellStart"/>
      <w:r>
        <w:t>Omri</w:t>
      </w:r>
      <w:proofErr w:type="spellEnd"/>
      <w:r>
        <w:t xml:space="preserve"> had to buy the hill of Samaria from </w:t>
      </w:r>
      <w:proofErr w:type="spellStart"/>
      <w:r>
        <w:t>Shemer</w:t>
      </w:r>
      <w:proofErr w:type="spellEnd"/>
      <w:r>
        <w:t>.</w:t>
      </w:r>
      <w:r>
        <w:rPr>
          <w:rStyle w:val="EndnoteCharacters"/>
        </w:rPr>
        <w:endnoteReference w:id="31"/>
      </w:r>
    </w:p>
    <w:p w14:paraId="6A552BF4" w14:textId="77777777" w:rsidR="00C21847" w:rsidRDefault="00C21847">
      <w:r>
        <w:t xml:space="preserve">Being king in Israel does not guarantee right over the property of the subjects nor over their life. When the corrupt king Ahab wanted to get rid of Naboth he had to go through all the legal procedures. Similarly, when David eliminated </w:t>
      </w:r>
      <w:proofErr w:type="gramStart"/>
      <w:r>
        <w:t>Uriah</w:t>
      </w:r>
      <w:proofErr w:type="gramEnd"/>
      <w:r>
        <w:t xml:space="preserve"> it was condemned very strongly by Nathan.</w:t>
      </w:r>
      <w:r>
        <w:rPr>
          <w:rStyle w:val="EndnoteCharacters"/>
        </w:rPr>
        <w:endnoteReference w:id="32"/>
      </w:r>
      <w:r>
        <w:t xml:space="preserve"> </w:t>
      </w:r>
    </w:p>
    <w:p w14:paraId="608430F7" w14:textId="77777777" w:rsidR="00C21847" w:rsidRDefault="00C21847">
      <w:r>
        <w:lastRenderedPageBreak/>
        <w:t xml:space="preserve">Israelite kings were always under the criticism of the prophetic schools. This feature of ancient </w:t>
      </w:r>
      <w:proofErr w:type="gramStart"/>
      <w:r>
        <w:t>prophecy  where</w:t>
      </w:r>
      <w:proofErr w:type="gramEnd"/>
      <w:r>
        <w:t xml:space="preserve"> a reigning monarch could be criticised and threatened with judgement  in the name of God is unique to ancient Israel. King was God’s representative who served the interest of God and his people. However, whenever, the kings deviated from this they were corrected, </w:t>
      </w:r>
      <w:proofErr w:type="gramStart"/>
      <w:r>
        <w:t>challenged</w:t>
      </w:r>
      <w:proofErr w:type="gramEnd"/>
      <w:r>
        <w:t xml:space="preserve"> or even deposed. </w:t>
      </w:r>
    </w:p>
    <w:p w14:paraId="4A576133" w14:textId="77777777" w:rsidR="00C21847" w:rsidRDefault="00C21847">
      <w:r>
        <w:t xml:space="preserve">The reign of the Israelite kings </w:t>
      </w:r>
      <w:proofErr w:type="gramStart"/>
      <w:r>
        <w:t>were</w:t>
      </w:r>
      <w:proofErr w:type="gramEnd"/>
      <w:r>
        <w:t xml:space="preserve"> regulated by strict codes of conduct that were formulated in the light of their understanding of God. At the same </w:t>
      </w:r>
      <w:proofErr w:type="gramStart"/>
      <w:r>
        <w:t>time</w:t>
      </w:r>
      <w:proofErr w:type="gramEnd"/>
      <w:r>
        <w:t xml:space="preserve"> they had immense responsibilities as well. They were the defenders of the nation and its institutions. In making someone king, especially in the northern kingdom military prowess to protect the nation was a very important factor. David emerged as a leader in Israel slowly replacing Saul once he proved his ability by defeating Goliath and bringing a decisive victory to Israel. </w:t>
      </w:r>
    </w:p>
    <w:p w14:paraId="1538C9D5" w14:textId="77777777" w:rsidR="00C21847" w:rsidRDefault="00C21847">
      <w:r>
        <w:t xml:space="preserve">The king is also God’s representative who uphold justice in the land. A person’s ability to judge and settle matters had an advantage. This has been very cleverly used by Absalom to usurp his </w:t>
      </w:r>
      <w:proofErr w:type="gramStart"/>
      <w:r>
        <w:t>father</w:t>
      </w:r>
      <w:proofErr w:type="gramEnd"/>
      <w:r>
        <w:t xml:space="preserve"> David. </w:t>
      </w:r>
    </w:p>
    <w:p w14:paraId="3EA39DDC" w14:textId="77777777" w:rsidR="00C21847" w:rsidRDefault="00C21847">
      <w:r>
        <w:t xml:space="preserve">Defending his people in times of threats from outside and at the same upholding justice in the country were the two main aspects of kingship. Psalm 72, one of the Royal Psalms declares </w:t>
      </w:r>
      <w:proofErr w:type="gramStart"/>
      <w:r>
        <w:t>this two aspects of the kingship</w:t>
      </w:r>
      <w:proofErr w:type="gramEnd"/>
      <w:r>
        <w:t xml:space="preserve"> in Israel: the king stands for the cause of the poor and helpless as a champion of justice; at the same time he subdues nations under his feet by the help of Yahweh. In doing this the king is subject to the statutes of God and any deviation from this was liable to criticism or even insurgency against his reign.</w:t>
      </w:r>
    </w:p>
    <w:p w14:paraId="25EBE494" w14:textId="77777777" w:rsidR="00C21847" w:rsidRDefault="00C21847">
      <w:r>
        <w:lastRenderedPageBreak/>
        <w:t xml:space="preserve">What is the role of the king? An animal perception is offered by the Walt Disney character Mufasa. While </w:t>
      </w:r>
      <w:proofErr w:type="gramStart"/>
      <w:r>
        <w:t>explaining  to</w:t>
      </w:r>
      <w:proofErr w:type="gramEnd"/>
      <w:r>
        <w:t xml:space="preserve"> his son and the would be king, Simba, the meaning of being the king of the animals Mufasa remarks: ‘Everything you see exist together in a delicate balance. As kings we need to understand that balance and respect all creatures— from the leaping antelope to the crawling ant.’</w:t>
      </w:r>
      <w:r>
        <w:rPr>
          <w:rStyle w:val="EndnoteCharacters"/>
        </w:rPr>
        <w:endnoteReference w:id="33"/>
      </w:r>
      <w:r>
        <w:t xml:space="preserve"> </w:t>
      </w:r>
    </w:p>
    <w:p w14:paraId="65ACCB91" w14:textId="77777777" w:rsidR="00C21847" w:rsidRDefault="00C21847">
      <w:r>
        <w:t>Man is king or God’s regent over nature in the sense he is responsible for recognizing this balance and maintain it in a manner God wants it. Man is supposed to rule over God’s creation as a king would maintain protect and save his subjects with respect and fear of God. The royal authority of man in creation is thus a call to responsibility to care for the nature which is the gift of God.</w:t>
      </w:r>
    </w:p>
    <w:p w14:paraId="310A76A8" w14:textId="77777777" w:rsidR="00C21847" w:rsidRDefault="00C21847" w:rsidP="009354DB">
      <w:pPr>
        <w:pStyle w:val="Heading2"/>
      </w:pPr>
      <w:r>
        <w:t>The Ongoing Role: The Flood and After</w:t>
      </w:r>
    </w:p>
    <w:p w14:paraId="7976E3F8" w14:textId="77777777" w:rsidR="00C21847" w:rsidRDefault="00C21847">
      <w:r>
        <w:t xml:space="preserve">The role of man does not diminish after fall; the Old </w:t>
      </w:r>
      <w:proofErr w:type="gramStart"/>
      <w:r>
        <w:t>Testament  makes</w:t>
      </w:r>
      <w:proofErr w:type="gramEnd"/>
      <w:r>
        <w:t xml:space="preserve"> it clear that he continues to be the ‘image of God’. This means that royal responsibility to maintain God’s earth is still his responsibility.</w:t>
      </w:r>
    </w:p>
    <w:p w14:paraId="6114923C" w14:textId="77777777" w:rsidR="00C21847" w:rsidRDefault="00C21847">
      <w:r>
        <w:t>The Flood narrative in certain aspects is the mirror image of the creation account. Cassuto has observed that in the flood story the earth is reverted to the primeval state of chaos and is now ready for a new creation.</w:t>
      </w:r>
      <w:r>
        <w:rPr>
          <w:rStyle w:val="EndnoteCharacters"/>
        </w:rPr>
        <w:endnoteReference w:id="34"/>
      </w:r>
      <w:r>
        <w:t xml:space="preserve"> We have here a God who is thoroughly disappointed with Man’s inclination toward uncreation which is evidently the result of fall. God is left with no choice except to start all over again. Though he is the creator who could destroy everything and engage in a new creation scheme God does not make such an option. Instead of destroying and re-creating God chooses to start all over again by preserving a ‘righteous’ line. This </w:t>
      </w:r>
      <w:r>
        <w:lastRenderedPageBreak/>
        <w:t>‘</w:t>
      </w:r>
      <w:proofErr w:type="spellStart"/>
      <w:r>
        <w:t>rigtheous</w:t>
      </w:r>
      <w:proofErr w:type="spellEnd"/>
      <w:r>
        <w:t xml:space="preserve">’ line would be through Noah who has ‘… found </w:t>
      </w:r>
      <w:proofErr w:type="spellStart"/>
      <w:r>
        <w:t>favor</w:t>
      </w:r>
      <w:proofErr w:type="spellEnd"/>
      <w:r>
        <w:t xml:space="preserve"> in the sight of the LORD.’</w:t>
      </w:r>
      <w:r>
        <w:rPr>
          <w:rStyle w:val="EndnoteCharacters"/>
        </w:rPr>
        <w:endnoteReference w:id="35"/>
      </w:r>
    </w:p>
    <w:p w14:paraId="6D3AEC6C" w14:textId="77777777" w:rsidR="00C21847" w:rsidRDefault="00C21847">
      <w:r>
        <w:t>Themes familiar in the earlier creation account come to fore in the flood story. We have already noted that the concept of ‘image of God’ comes back here. Moreover, God’s concern in creation for the animal kingdom to be organized ‘according to its species’ is also reflected as God commands Noah to bring two pairs of every kind (</w:t>
      </w:r>
      <w:r>
        <w:rPr>
          <w:rStyle w:val="SuperHebrew"/>
        </w:rPr>
        <w:t>ˆmi</w:t>
      </w:r>
      <w:r>
        <w:t>) into the ark to be preserved.</w:t>
      </w:r>
      <w:r>
        <w:rPr>
          <w:rStyle w:val="EndnoteCharacters"/>
        </w:rPr>
        <w:endnoteReference w:id="36"/>
      </w:r>
      <w:r>
        <w:t xml:space="preserve"> </w:t>
      </w:r>
    </w:p>
    <w:p w14:paraId="088CE944" w14:textId="77777777" w:rsidR="00C21847" w:rsidRDefault="00C21847">
      <w:r>
        <w:t xml:space="preserve">It is once again man who is at the hub of this new process. It is </w:t>
      </w:r>
      <w:proofErr w:type="gramStart"/>
      <w:r>
        <w:t>Man  who</w:t>
      </w:r>
      <w:proofErr w:type="gramEnd"/>
      <w:r>
        <w:t xml:space="preserve"> is the one who preserves life for the future, and is also responsible for the ecological shape and content of his world, because it all depended on his will and judgement. It was left to Noah to decide whether he should collect all the species to be preserved for future once God’s wrath subsides along with the waning flood tide. The way the animal kingdom should be in future depended on Noah’s willingness to select a pair each of all the birds and the animals.</w:t>
      </w:r>
    </w:p>
    <w:p w14:paraId="20DD9D43" w14:textId="77777777" w:rsidR="00C21847" w:rsidRDefault="00C21847">
      <w:r>
        <w:t>God created man to rule his kingdom by maintaining it in harmony with each component. This role of man is unique because this responsibility makes man second to God which is a privilege vested in him the way he is created and what is expected of him.</w:t>
      </w:r>
    </w:p>
    <w:p w14:paraId="70E6D8B9" w14:textId="77777777" w:rsidR="00C21847" w:rsidRDefault="00C21847">
      <w:pPr>
        <w:pStyle w:val="Heading1"/>
      </w:pPr>
      <w:r>
        <w:t>Conclusion</w:t>
      </w:r>
    </w:p>
    <w:p w14:paraId="631512B0" w14:textId="77777777" w:rsidR="00C21847" w:rsidRDefault="00C21847">
      <w:r>
        <w:t xml:space="preserve">The above observations </w:t>
      </w:r>
      <w:proofErr w:type="gramStart"/>
      <w:r>
        <w:t>leads</w:t>
      </w:r>
      <w:proofErr w:type="gramEnd"/>
      <w:r>
        <w:t xml:space="preserve"> us to some important conclusions: In any discussion of ecological concerns we should not ignore the fact that the whole world and its eco-system to belong to one true God who is the creator of it. The creator </w:t>
      </w:r>
      <w:r>
        <w:lastRenderedPageBreak/>
        <w:t xml:space="preserve">and his plan for the creation should get priority over the creation itself. A concern for ecology </w:t>
      </w:r>
      <w:proofErr w:type="spellStart"/>
      <w:r>
        <w:t>wihout</w:t>
      </w:r>
      <w:proofErr w:type="spellEnd"/>
      <w:r>
        <w:t xml:space="preserve"> </w:t>
      </w:r>
      <w:proofErr w:type="gramStart"/>
      <w:r>
        <w:t>taking into account</w:t>
      </w:r>
      <w:proofErr w:type="gramEnd"/>
      <w:r>
        <w:t xml:space="preserve"> this divine element is far from complete.</w:t>
      </w:r>
    </w:p>
    <w:p w14:paraId="3A7ACFEA" w14:textId="77777777" w:rsidR="00C21847" w:rsidRDefault="00C21847">
      <w:r>
        <w:t xml:space="preserve">The Old </w:t>
      </w:r>
      <w:proofErr w:type="gramStart"/>
      <w:r>
        <w:t>Testament  creation</w:t>
      </w:r>
      <w:proofErr w:type="gramEnd"/>
      <w:r>
        <w:t xml:space="preserve"> theology is very explicit in bringing out the divine ownership and </w:t>
      </w:r>
      <w:proofErr w:type="spellStart"/>
      <w:r>
        <w:t>sovereignity</w:t>
      </w:r>
      <w:proofErr w:type="spellEnd"/>
      <w:r>
        <w:t xml:space="preserve"> over the creation. The earth and all that is in it belongs to God, and God alone. This God has a special concern towards the inhabited earth than towards any other parts of the cosmic order. The earth as God’s arena of activity, has a special place in God’s plan. The divine ownership and divine interest in the inhabited earth means a lot as far as human responsibility is concerned. </w:t>
      </w:r>
    </w:p>
    <w:p w14:paraId="14872604" w14:textId="77777777" w:rsidR="00C21847" w:rsidRDefault="00C21847">
      <w:r>
        <w:t xml:space="preserve">Man owns the earth on behalf of God. As God’s co-regent mankind has a responsibility to manage it properly by sustaining and maintaining it. The earth belongs to God, and we as humans being </w:t>
      </w:r>
      <w:proofErr w:type="gramStart"/>
      <w:r>
        <w:t>are in charge of</w:t>
      </w:r>
      <w:proofErr w:type="gramEnd"/>
      <w:r>
        <w:t xml:space="preserve"> keeping it. This aspect of faith of the Old Testament should resound in a world that heads towards ecological crises. This message of the Old Testament should motivate the church into action to preserve our God-given heritage of nature.</w:t>
      </w:r>
    </w:p>
    <w:p w14:paraId="1FCA3169" w14:textId="77777777" w:rsidR="00C21847" w:rsidRDefault="00C21847">
      <w:pPr>
        <w:pStyle w:val="Heading1"/>
      </w:pPr>
      <w:r>
        <w:t>Derived Authority</w:t>
      </w:r>
    </w:p>
    <w:p w14:paraId="2AD64756" w14:textId="77777777" w:rsidR="00C21847" w:rsidRDefault="00C21847">
      <w:pPr>
        <w:pStyle w:val="Heading1"/>
      </w:pPr>
      <w:r>
        <w:t>Redemption and New Creation</w:t>
      </w:r>
    </w:p>
    <w:p w14:paraId="797B7EF0" w14:textId="77777777" w:rsidR="00C21847" w:rsidRDefault="00C21847">
      <w:r>
        <w:t>The ideas of redemption and creation are closely related. In the Old Testament and in the New Testament. This is related to the curse on human beings and the suffering of the creation in consequence of human sin.</w:t>
      </w:r>
    </w:p>
    <w:p w14:paraId="11C1AF15" w14:textId="77777777" w:rsidR="00C21847" w:rsidRDefault="00C21847"/>
    <w:p w14:paraId="4E666FB3" w14:textId="77777777" w:rsidR="00C21847" w:rsidRDefault="00C21847">
      <w:pPr>
        <w:jc w:val="center"/>
        <w:sectPr w:rsidR="00C21847">
          <w:headerReference w:type="even" r:id="rId7"/>
          <w:headerReference w:type="default" r:id="rId8"/>
          <w:footerReference w:type="even" r:id="rId9"/>
          <w:footerReference w:type="default" r:id="rId10"/>
          <w:pgSz w:w="12240" w:h="15840"/>
          <w:pgMar w:top="1440" w:right="1440" w:bottom="1440" w:left="2007" w:header="720" w:footer="720" w:gutter="0"/>
          <w:cols w:space="720"/>
        </w:sectPr>
      </w:pPr>
      <w:r>
        <w:t>-o0o-</w:t>
      </w:r>
    </w:p>
    <w:p w14:paraId="4AD81346" w14:textId="77777777" w:rsidR="00C21847" w:rsidRDefault="00C21847" w:rsidP="00772953">
      <w:pPr>
        <w:pStyle w:val="Heading1"/>
      </w:pPr>
      <w:r w:rsidRPr="00772953">
        <w:lastRenderedPageBreak/>
        <w:t>Bibliography</w:t>
      </w:r>
    </w:p>
    <w:p w14:paraId="5E6837D3" w14:textId="77777777" w:rsidR="00772953" w:rsidRPr="00772953" w:rsidRDefault="00772953" w:rsidP="00772953">
      <w:pPr>
        <w:pStyle w:val="Bibliography"/>
        <w:rPr>
          <w:rFonts w:ascii="Times" w:hAnsi="Times" w:cs="Times"/>
        </w:rPr>
      </w:pPr>
      <w:r>
        <w:fldChar w:fldCharType="begin"/>
      </w:r>
      <w:r>
        <w:instrText xml:space="preserve"> ADDIN ZOTERO_BIBL {"uncited":[],"omitted":[],"custom":[]} CSL_BIBLIOGRAPHY </w:instrText>
      </w:r>
      <w:r>
        <w:fldChar w:fldCharType="separate"/>
      </w:r>
      <w:r w:rsidRPr="00772953">
        <w:rPr>
          <w:rFonts w:ascii="Times" w:hAnsi="Times" w:cs="Times"/>
        </w:rPr>
        <w:t xml:space="preserve">Sekhar, C, V Ganesan, and K </w:t>
      </w:r>
      <w:proofErr w:type="spellStart"/>
      <w:r w:rsidRPr="00772953">
        <w:rPr>
          <w:rFonts w:ascii="Times" w:hAnsi="Times" w:cs="Times"/>
        </w:rPr>
        <w:t>Baranidharan</w:t>
      </w:r>
      <w:proofErr w:type="spellEnd"/>
      <w:r w:rsidRPr="00772953">
        <w:rPr>
          <w:rFonts w:ascii="Times" w:hAnsi="Times" w:cs="Times"/>
        </w:rPr>
        <w:t xml:space="preserve">. 2018. ‘Factors Mitigating Man-Animal Encounters in Tamil Nadu – A Case Study’. </w:t>
      </w:r>
      <w:r w:rsidRPr="00772953">
        <w:rPr>
          <w:rFonts w:ascii="Times" w:hAnsi="Times" w:cs="Times"/>
          <w:i/>
          <w:iCs/>
        </w:rPr>
        <w:t>International Journal of Research in Agriculture and Forestry</w:t>
      </w:r>
      <w:r w:rsidRPr="00772953">
        <w:rPr>
          <w:rFonts w:ascii="Times" w:hAnsi="Times" w:cs="Times"/>
        </w:rPr>
        <w:t xml:space="preserve"> 5 (5): 24–42.</w:t>
      </w:r>
    </w:p>
    <w:p w14:paraId="5F3279DC" w14:textId="77777777" w:rsidR="00C21847" w:rsidRDefault="00772953">
      <w:r>
        <w:fldChar w:fldCharType="end"/>
      </w:r>
      <w:r w:rsidR="00C21847">
        <w:fldChar w:fldCharType="begin"/>
      </w:r>
      <w:r w:rsidR="00C21847">
        <w:instrText>vnd.oasis.opendocument.field.UNHANDLED</w:instrText>
      </w:r>
      <w:r w:rsidR="00C21847">
        <w:fldChar w:fldCharType="separate"/>
      </w:r>
      <w:r w:rsidR="00C21847">
        <w:t>Allen, Leslie C.</w:t>
      </w:r>
      <w:r w:rsidR="00C21847">
        <w:rPr>
          <w:i/>
          <w:iCs/>
        </w:rPr>
        <w:t xml:space="preserve">   Psalms 101-150</w:t>
      </w:r>
      <w:r w:rsidR="00C21847">
        <w:t>.  Eds. David A. Hubbard and Glenn W. Barker.  Vol. 21.  Waco, Texas: Word Books, 1983.</w:t>
      </w:r>
    </w:p>
    <w:p w14:paraId="2E79CF74" w14:textId="77777777" w:rsidR="00C21847" w:rsidRDefault="00C21847">
      <w:r>
        <w:t xml:space="preserve">Anderson, B.W.  “Creation.” </w:t>
      </w:r>
      <w:r>
        <w:rPr>
          <w:i/>
          <w:iCs/>
        </w:rPr>
        <w:t>The Interpreter's Dictionary of the Bible</w:t>
      </w:r>
      <w:r>
        <w:t>.  Ed. George A. Buttrick, Thomas Samuel Kepler and John Knox.  Nashville: Abingdom Press, 1962.  725-732.  Vol. 1.</w:t>
      </w:r>
    </w:p>
    <w:p w14:paraId="12186983" w14:textId="77777777" w:rsidR="00C21847" w:rsidRDefault="00C21847">
      <w:r>
        <w:t xml:space="preserve">Anderson, B.W.  “Creation and Ecology.” </w:t>
      </w:r>
      <w:r>
        <w:rPr>
          <w:i/>
          <w:iCs/>
        </w:rPr>
        <w:t>Creation in the Old Testament</w:t>
      </w:r>
      <w:r>
        <w:t>.  Ed. B.W. Anderson.  London: SPCK, 1984.  152-171.</w:t>
      </w:r>
    </w:p>
    <w:p w14:paraId="4D948E4C" w14:textId="77777777" w:rsidR="00C21847" w:rsidRDefault="00C21847">
      <w:r>
        <w:t>Cassuto, Umberto.</w:t>
      </w:r>
      <w:r>
        <w:rPr>
          <w:i/>
          <w:iCs/>
        </w:rPr>
        <w:t xml:space="preserve">   Commentary on Genesis</w:t>
      </w:r>
      <w:r>
        <w:t>.  2 ed.  Jerusalem: Magnes Press, 1964.</w:t>
      </w:r>
    </w:p>
    <w:p w14:paraId="5723CCEE" w14:textId="77777777" w:rsidR="00C21847" w:rsidRDefault="00C21847">
      <w:r>
        <w:t>Clines, David J.A.</w:t>
      </w:r>
      <w:r>
        <w:rPr>
          <w:i/>
          <w:iCs/>
        </w:rPr>
        <w:t xml:space="preserve">   The Dictionary of Classical Hebrew</w:t>
      </w:r>
      <w:r>
        <w:t>.  Vol. 2.  Sheffield: Sheffield Academic Press, 1995.</w:t>
      </w:r>
    </w:p>
    <w:p w14:paraId="13799FB4" w14:textId="77777777" w:rsidR="00C21847" w:rsidRDefault="00C21847">
      <w:r>
        <w:t xml:space="preserve">Clines, D.J.A. “In the Image of God in Man.” </w:t>
      </w:r>
      <w:r>
        <w:rPr>
          <w:i/>
          <w:iCs/>
        </w:rPr>
        <w:t>Tyndale Bulletin</w:t>
      </w:r>
      <w:r>
        <w:t xml:space="preserve"> 19 (1968): 101.</w:t>
      </w:r>
    </w:p>
    <w:p w14:paraId="3BF07CAE" w14:textId="77777777" w:rsidR="00C21847" w:rsidRDefault="00C21847">
      <w:r>
        <w:t xml:space="preserve">Cowley, A.E., and Kautzsch, eds.  </w:t>
      </w:r>
      <w:r>
        <w:rPr>
          <w:i/>
          <w:iCs/>
        </w:rPr>
        <w:t>Gesenius' Hebrew Grammar, as edited and enlarged by the late E. Kautzsch</w:t>
      </w:r>
      <w:r>
        <w:t>.  Oxford: Oxford University Press, 1910.</w:t>
      </w:r>
    </w:p>
    <w:p w14:paraId="13EBF335" w14:textId="77777777" w:rsidR="00C21847" w:rsidRDefault="00C21847">
      <w:r>
        <w:t xml:space="preserve">Curtis, Edward M.  “Image of God (OT).” </w:t>
      </w:r>
      <w:r>
        <w:rPr>
          <w:i/>
          <w:iCs/>
        </w:rPr>
        <w:t>The Anchor Bible Dictionary</w:t>
      </w:r>
      <w:r>
        <w:t>.  Ed. D. N. Freedman.  New York: Doubleday, 1992.  389-391.  Vol. 3.</w:t>
      </w:r>
    </w:p>
    <w:p w14:paraId="5DDE037B" w14:textId="77777777" w:rsidR="00C21847" w:rsidRDefault="00C21847">
      <w:r>
        <w:t xml:space="preserve">Hart, Ian. “Genesis 1:1-2:3 as a Prophetic Prologue to the Book of Genesis.” </w:t>
      </w:r>
      <w:r>
        <w:rPr>
          <w:i/>
          <w:iCs/>
        </w:rPr>
        <w:t>Tyndale Bulletin</w:t>
      </w:r>
      <w:r>
        <w:t xml:space="preserve"> 46.2 (1995): 315-336.</w:t>
      </w:r>
    </w:p>
    <w:p w14:paraId="29386D9C" w14:textId="77777777" w:rsidR="00C21847" w:rsidRDefault="00C21847">
      <w:r>
        <w:t>Kraus, Hans–Joachim.</w:t>
      </w:r>
      <w:r>
        <w:rPr>
          <w:i/>
          <w:iCs/>
        </w:rPr>
        <w:t xml:space="preserve">   Psalms 1-59; A Continental Commentary</w:t>
      </w:r>
      <w:r>
        <w:t>.  Trans. Hilton C. Oswald.  Vol. 1.  Minneapolis: Fortress Press, 1993.  2 vols.</w:t>
      </w:r>
    </w:p>
    <w:p w14:paraId="74D1D109" w14:textId="77777777" w:rsidR="00C21847" w:rsidRDefault="00C21847">
      <w:r>
        <w:t>Kraus, Hans–Joachim.</w:t>
      </w:r>
      <w:r>
        <w:rPr>
          <w:i/>
          <w:iCs/>
        </w:rPr>
        <w:t xml:space="preserve">   Psalms 60-150; A Continental Commentary</w:t>
      </w:r>
      <w:r>
        <w:t>.  Vol. 2.  Minneapolis: Fortress Press, 1993.  2 vols.</w:t>
      </w:r>
    </w:p>
    <w:p w14:paraId="304D3E88" w14:textId="77777777" w:rsidR="00C21847" w:rsidRDefault="00C21847">
      <w:r>
        <w:t xml:space="preserve">Lambert, W.G.  “Enuma Elish.” </w:t>
      </w:r>
      <w:r>
        <w:rPr>
          <w:i/>
          <w:iCs/>
        </w:rPr>
        <w:t>The Anchor Bible Dictionary</w:t>
      </w:r>
      <w:r>
        <w:t>.  Ed. D.N. Freedman.  New York: Doubleday, 1992.  526-528.  Vol. 2.</w:t>
      </w:r>
    </w:p>
    <w:p w14:paraId="1E64AF6A" w14:textId="77777777" w:rsidR="00C21847" w:rsidRDefault="00C21847">
      <w:r>
        <w:t xml:space="preserve">Miller, J.M. “In the Image and Likeness of God.” </w:t>
      </w:r>
      <w:r>
        <w:rPr>
          <w:i/>
          <w:iCs/>
        </w:rPr>
        <w:t>Journal of Biblical Literature</w:t>
      </w:r>
      <w:r>
        <w:t xml:space="preserve"> 91 (1972): 289-304.</w:t>
      </w:r>
    </w:p>
    <w:p w14:paraId="17AA3E57" w14:textId="77777777" w:rsidR="00C21847" w:rsidRDefault="00C21847">
      <w:r>
        <w:t>Pritchard, James B.</w:t>
      </w:r>
      <w:r>
        <w:rPr>
          <w:i/>
          <w:iCs/>
        </w:rPr>
        <w:t xml:space="preserve">   The Ancient Near East</w:t>
      </w:r>
      <w:r>
        <w:t>.  Vol. 2.  Oxford: Princeton University Press, 1975.</w:t>
      </w:r>
    </w:p>
    <w:p w14:paraId="7926585C" w14:textId="77777777" w:rsidR="00C21847" w:rsidRDefault="00C21847">
      <w:r>
        <w:t>von Rad, Gerhard.</w:t>
      </w:r>
      <w:r>
        <w:rPr>
          <w:i/>
          <w:iCs/>
        </w:rPr>
        <w:t xml:space="preserve">   Genesis A Commentary</w:t>
      </w:r>
      <w:r>
        <w:t>.  Eds. G.E. Wright, et al.  Trans. John H. Marks.  Philadelphia: Westminster, 1961.</w:t>
      </w:r>
    </w:p>
    <w:p w14:paraId="4F18A992" w14:textId="77777777" w:rsidR="00C21847" w:rsidRDefault="00C21847">
      <w:r>
        <w:t xml:space="preserve">von Rad, G.  “The Theological Problem of the Old Testament Doctrine of Creation.” </w:t>
      </w:r>
      <w:r>
        <w:rPr>
          <w:i/>
          <w:iCs/>
        </w:rPr>
        <w:t>The Problem of the Hextateuch and other Essays</w:t>
      </w:r>
      <w:r>
        <w:t>.  Ed. G. von Rad.  Trans. Norman W. Porteous.  English Edition ed.  Edinurgh: Oliver and Boyd, 1965.  131-143.</w:t>
      </w:r>
    </w:p>
    <w:p w14:paraId="002E3277" w14:textId="77777777" w:rsidR="00C21847" w:rsidRDefault="00C21847">
      <w:r>
        <w:t>Whybray, R.N.</w:t>
      </w:r>
      <w:r>
        <w:rPr>
          <w:i/>
          <w:iCs/>
        </w:rPr>
        <w:t xml:space="preserve">   The Second Isaiah</w:t>
      </w:r>
      <w:r>
        <w:t>.  Sheffield: JSOT Press, 1983.</w:t>
      </w:r>
      <w:r>
        <w:fldChar w:fldCharType="end"/>
      </w:r>
    </w:p>
    <w:sectPr w:rsidR="00C21847">
      <w:headerReference w:type="even" r:id="rId11"/>
      <w:headerReference w:type="default" r:id="rId12"/>
      <w:footerReference w:type="even" r:id="rId13"/>
      <w:footerReference w:type="default" r:id="rId14"/>
      <w:headerReference w:type="first" r:id="rId15"/>
      <w:footerReference w:type="first" r:id="rId16"/>
      <w:pgSz w:w="12240" w:h="15840"/>
      <w:pgMar w:top="1440" w:right="1440" w:bottom="1440" w:left="2007"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D7E22E1" w14:textId="77777777" w:rsidR="0029081E" w:rsidRDefault="0029081E">
      <w:r>
        <w:separator/>
      </w:r>
    </w:p>
  </w:endnote>
  <w:endnote w:type="continuationSeparator" w:id="0">
    <w:p w14:paraId="6FD4F7F4" w14:textId="77777777" w:rsidR="0029081E" w:rsidRDefault="0029081E">
      <w:r>
        <w:continuationSeparator/>
      </w:r>
    </w:p>
  </w:endnote>
  <w:endnote w:id="1">
    <w:p w14:paraId="275FF1E3" w14:textId="77777777" w:rsidR="00C21847" w:rsidRDefault="00C21847">
      <w:pPr>
        <w:pStyle w:val="EndnoteText"/>
      </w:pPr>
      <w:r>
        <w:rPr>
          <w:rStyle w:val="EndnoteCharacters"/>
        </w:rPr>
        <w:endnoteRef/>
      </w:r>
      <w:r>
        <w:rPr>
          <w:rFonts w:eastAsia="Times" w:cs="Times"/>
        </w:rPr>
        <w:tab/>
        <w:t xml:space="preserve"> </w:t>
      </w:r>
      <w:r>
        <w:fldChar w:fldCharType="begin"/>
      </w:r>
      <w:r>
        <w:instrText>vnd.oasis.opendocument.field.UNHANDLED</w:instrText>
      </w:r>
      <w:r>
        <w:fldChar w:fldCharType="separate"/>
      </w:r>
      <w:r>
        <w:t xml:space="preserve">L.C. Allen.  </w:t>
      </w:r>
      <w:r>
        <w:rPr>
          <w:i/>
          <w:iCs/>
        </w:rPr>
        <w:t xml:space="preserve"> Psalms 101-15</w:t>
      </w:r>
      <w:r>
        <w:t xml:space="preserve">0.  Eds. D. A. Hubbard and G. W. Barker.  Vol. 21.  (Waco, Texas: Word Books, 1983) </w:t>
      </w:r>
      <w:r>
        <w:fldChar w:fldCharType="end"/>
      </w:r>
      <w:r>
        <w:t>, p. 34.</w:t>
      </w:r>
    </w:p>
  </w:endnote>
  <w:endnote w:id="2">
    <w:p w14:paraId="26CF53A1" w14:textId="77777777" w:rsidR="00C21847" w:rsidRDefault="00C21847">
      <w:pPr>
        <w:pStyle w:val="EndnoteText"/>
      </w:pPr>
      <w:r>
        <w:rPr>
          <w:rStyle w:val="EndnoteCharacters"/>
        </w:rPr>
        <w:endnoteRef/>
      </w:r>
      <w:r>
        <w:rPr>
          <w:rFonts w:eastAsia="Times" w:cs="Times"/>
        </w:rPr>
        <w:tab/>
        <w:t xml:space="preserve"> </w:t>
      </w:r>
      <w:r>
        <w:t>Lev. 25.23.</w:t>
      </w:r>
    </w:p>
  </w:endnote>
  <w:endnote w:id="3">
    <w:p w14:paraId="7AC809DF" w14:textId="77777777" w:rsidR="00C21847" w:rsidRDefault="00C21847">
      <w:pPr>
        <w:pStyle w:val="EndnoteText"/>
      </w:pPr>
      <w:r>
        <w:rPr>
          <w:rStyle w:val="EndnoteCharacters"/>
        </w:rPr>
        <w:endnoteRef/>
      </w:r>
      <w:r>
        <w:rPr>
          <w:rFonts w:eastAsia="Times" w:cs="Times"/>
        </w:rPr>
        <w:tab/>
        <w:t xml:space="preserve"> </w:t>
      </w:r>
      <w:r>
        <w:t>Gen. 1:14-18: And God said,  “Let there be lights in the dome of the sky to separate the day from the night; and let them be for signs and for seasons and for days and years, and let them be lights in the dome of the sky to give light upon the earth.” And it was so. God made the two great lights — the greater light to rule the day and the lesser light to rule the night — and the stars. God set them in the dome of the sky to give light upon the earth, to rule over the day and over the night, and to separate the light from the darkness. And God saw that it was good.</w:t>
      </w:r>
    </w:p>
  </w:endnote>
  <w:endnote w:id="4">
    <w:p w14:paraId="672FADAA" w14:textId="77777777" w:rsidR="00C21847" w:rsidRDefault="00C21847">
      <w:pPr>
        <w:pStyle w:val="EndnoteText"/>
      </w:pPr>
      <w:r>
        <w:rPr>
          <w:rStyle w:val="EndnoteCharacters"/>
        </w:rPr>
        <w:endnoteRef/>
      </w:r>
      <w:r>
        <w:rPr>
          <w:rFonts w:eastAsia="Times" w:cs="Times"/>
        </w:rPr>
        <w:tab/>
        <w:t xml:space="preserve"> </w:t>
      </w:r>
      <w:r>
        <w:t>Isa. 40.26: Lift up your eyes on high and see: Who created these? He who brings out their host and numbers them, calling them all by name; because he is great in strength, mighty in power, not one is missing.</w:t>
      </w:r>
    </w:p>
  </w:endnote>
  <w:endnote w:id="5">
    <w:p w14:paraId="2B264420" w14:textId="77777777" w:rsidR="00C21847" w:rsidRDefault="00C21847">
      <w:pPr>
        <w:pStyle w:val="EndnoteText"/>
      </w:pPr>
      <w:r>
        <w:rPr>
          <w:rStyle w:val="EndnoteCharacters"/>
        </w:rPr>
        <w:endnoteRef/>
      </w:r>
      <w:r>
        <w:rPr>
          <w:rFonts w:eastAsia="Times" w:cs="Times"/>
        </w:rPr>
        <w:tab/>
        <w:t xml:space="preserve"> </w:t>
      </w:r>
      <w:r>
        <w:fldChar w:fldCharType="begin"/>
      </w:r>
      <w:r>
        <w:instrText>vnd.oasis.opendocument.field.UNHANDLED</w:instrText>
      </w:r>
      <w:r>
        <w:fldChar w:fldCharType="separate"/>
      </w:r>
      <w:r>
        <w:t xml:space="preserve">R.N. Whybray.  </w:t>
      </w:r>
      <w:r>
        <w:rPr>
          <w:i/>
          <w:iCs/>
        </w:rPr>
        <w:t xml:space="preserve"> The Second Isaia</w:t>
      </w:r>
      <w:r>
        <w:t xml:space="preserve">h.  (Sheffield: JSOT Press, 1983) </w:t>
      </w:r>
      <w:r>
        <w:fldChar w:fldCharType="end"/>
      </w:r>
      <w:r>
        <w:t>, p. 54.</w:t>
      </w:r>
    </w:p>
  </w:endnote>
  <w:endnote w:id="6">
    <w:p w14:paraId="761052A4" w14:textId="77777777" w:rsidR="00C21847" w:rsidRDefault="00C21847">
      <w:pPr>
        <w:pStyle w:val="EndnoteText"/>
      </w:pPr>
      <w:r>
        <w:rPr>
          <w:rStyle w:val="EndnoteCharacters"/>
        </w:rPr>
        <w:endnoteRef/>
      </w:r>
      <w:r>
        <w:rPr>
          <w:rFonts w:eastAsia="Times" w:cs="Times"/>
        </w:rPr>
        <w:tab/>
        <w:t xml:space="preserve"> </w:t>
      </w:r>
      <w:r>
        <w:fldChar w:fldCharType="begin"/>
      </w:r>
      <w:r>
        <w:instrText>vnd.oasis.opendocument.field.UNHANDLED</w:instrText>
      </w:r>
      <w:r>
        <w:fldChar w:fldCharType="separate"/>
      </w:r>
      <w:r>
        <w:t>B.W. Anderson, ‘Creation and Ecology’, In</w:t>
      </w:r>
      <w:r>
        <w:rPr>
          <w:i/>
          <w:iCs/>
        </w:rPr>
        <w:t xml:space="preserve"> Creation in the Old Testamen</w:t>
      </w:r>
      <w:r>
        <w:t>t (ed. B. W. Anderson; London: SPCK, 1984), 152-171</w:t>
      </w:r>
      <w:r>
        <w:fldChar w:fldCharType="end"/>
      </w:r>
      <w:r>
        <w:t>, p. 158.</w:t>
      </w:r>
    </w:p>
  </w:endnote>
  <w:endnote w:id="7">
    <w:p w14:paraId="6B3F67AB" w14:textId="77777777" w:rsidR="00C21847" w:rsidRDefault="00C21847">
      <w:pPr>
        <w:pStyle w:val="EndnoteText"/>
      </w:pPr>
      <w:r>
        <w:rPr>
          <w:rStyle w:val="EndnoteCharacters"/>
        </w:rPr>
        <w:endnoteRef/>
      </w:r>
      <w:r>
        <w:rPr>
          <w:rFonts w:eastAsia="Times" w:cs="Times"/>
        </w:rPr>
        <w:tab/>
        <w:t xml:space="preserve"> </w:t>
      </w:r>
      <w:r>
        <w:t>See, Gen. 1.11-24.</w:t>
      </w:r>
    </w:p>
  </w:endnote>
  <w:endnote w:id="8">
    <w:p w14:paraId="7A790254" w14:textId="77777777" w:rsidR="00C21847" w:rsidRDefault="00C21847">
      <w:pPr>
        <w:pStyle w:val="EndnoteText"/>
      </w:pPr>
      <w:r>
        <w:rPr>
          <w:rStyle w:val="EndnoteCharacters"/>
        </w:rPr>
        <w:endnoteRef/>
      </w:r>
      <w:r>
        <w:rPr>
          <w:rFonts w:eastAsia="Times" w:cs="Times"/>
        </w:rPr>
        <w:tab/>
        <w:t xml:space="preserve"> </w:t>
      </w:r>
      <w:r>
        <w:t>Ps. 104.5-20.</w:t>
      </w:r>
    </w:p>
  </w:endnote>
  <w:endnote w:id="9">
    <w:p w14:paraId="0F5B506C" w14:textId="77777777" w:rsidR="00C21847" w:rsidRDefault="00C21847">
      <w:pPr>
        <w:pStyle w:val="EndnoteText"/>
      </w:pPr>
      <w:r>
        <w:rPr>
          <w:rStyle w:val="EndnoteCharacters"/>
        </w:rPr>
        <w:endnoteRef/>
      </w:r>
      <w:r>
        <w:rPr>
          <w:rFonts w:eastAsia="Times" w:cs="Times"/>
        </w:rPr>
        <w:tab/>
        <w:t xml:space="preserve"> </w:t>
      </w:r>
      <w:r>
        <w:fldChar w:fldCharType="begin"/>
      </w:r>
      <w:r>
        <w:instrText>vnd.oasis.opendocument.field.UNHANDLED</w:instrText>
      </w:r>
      <w:r>
        <w:fldChar w:fldCharType="separate"/>
      </w:r>
      <w:r>
        <w:t>H.J. Kraus.   Psalms 60-150; A Continental Commentary.  Vol. 2.  (Minneapolis: Fortress Press, 1993) 2 vols</w:t>
      </w:r>
      <w:r>
        <w:fldChar w:fldCharType="end"/>
      </w:r>
      <w:r>
        <w:t>, p. 304.</w:t>
      </w:r>
    </w:p>
  </w:endnote>
  <w:endnote w:id="10">
    <w:p w14:paraId="3D28F51C" w14:textId="77777777" w:rsidR="00C21847" w:rsidRDefault="00C21847">
      <w:pPr>
        <w:pStyle w:val="EndnoteText"/>
      </w:pPr>
      <w:r>
        <w:rPr>
          <w:rStyle w:val="EndnoteCharacters"/>
        </w:rPr>
        <w:endnoteRef/>
      </w:r>
      <w:r>
        <w:rPr>
          <w:rFonts w:eastAsia="Times" w:cs="Times"/>
        </w:rPr>
        <w:tab/>
        <w:t xml:space="preserve"> </w:t>
      </w:r>
      <w:r>
        <w:fldChar w:fldCharType="begin"/>
      </w:r>
      <w:r>
        <w:instrText>vnd.oasis.opendocument.field.UNHANDLED</w:instrText>
      </w:r>
      <w:r>
        <w:fldChar w:fldCharType="separate"/>
      </w:r>
      <w:r>
        <w:t xml:space="preserve">G. von Rad.  </w:t>
      </w:r>
      <w:r>
        <w:rPr>
          <w:i/>
          <w:iCs/>
        </w:rPr>
        <w:t xml:space="preserve"> Genesis A Commentar</w:t>
      </w:r>
      <w:r>
        <w:t xml:space="preserve">y.  Eds. G. E. Wright, J. Bright, J. Barr and P. Ackroyd.  Trans. John H. Marks.  (Philadelphia: Westminster, 1961) </w:t>
      </w:r>
      <w:r>
        <w:fldChar w:fldCharType="end"/>
      </w:r>
      <w:r>
        <w:t xml:space="preserve"> , p. 44. See also: </w:t>
      </w:r>
      <w:r>
        <w:fldChar w:fldCharType="begin"/>
      </w:r>
      <w:r>
        <w:instrText>vnd.oasis.opendocument.field.UNHANDLED</w:instrText>
      </w:r>
      <w:r>
        <w:fldChar w:fldCharType="separate"/>
      </w:r>
      <w:r>
        <w:t>G. von Rad, ‘The Theological Problem of the Old Testament Doctrine of Creation’, In</w:t>
      </w:r>
      <w:r>
        <w:rPr>
          <w:i/>
          <w:iCs/>
        </w:rPr>
        <w:t xml:space="preserve"> The Problem of the Hextateuch and other Essay</w:t>
      </w:r>
      <w:r>
        <w:t>s (ed. G. von Rad; Edinurgh: Oliver and Boyd, 1965), 131-143</w:t>
      </w:r>
      <w:r>
        <w:fldChar w:fldCharType="end"/>
      </w:r>
      <w:r>
        <w:t>.</w:t>
      </w:r>
    </w:p>
  </w:endnote>
  <w:endnote w:id="11">
    <w:p w14:paraId="674FFDA6" w14:textId="77777777" w:rsidR="00C21847" w:rsidRDefault="00C21847">
      <w:pPr>
        <w:pStyle w:val="EndnoteText"/>
      </w:pPr>
      <w:r>
        <w:rPr>
          <w:rStyle w:val="EndnoteCharacters"/>
        </w:rPr>
        <w:endnoteRef/>
      </w:r>
      <w:r>
        <w:rPr>
          <w:rFonts w:eastAsia="Times" w:cs="Times"/>
        </w:rPr>
        <w:tab/>
        <w:t xml:space="preserve"> </w:t>
      </w:r>
      <w:r>
        <w:fldChar w:fldCharType="begin"/>
      </w:r>
      <w:r>
        <w:instrText>vnd.oasis.opendocument.field.UNHANDLED</w:instrText>
      </w:r>
      <w:r>
        <w:fldChar w:fldCharType="separate"/>
      </w:r>
      <w:r>
        <w:t>B.W. Anderson, ‘Creation’, In</w:t>
      </w:r>
      <w:r>
        <w:rPr>
          <w:i/>
          <w:iCs/>
        </w:rPr>
        <w:t xml:space="preserve"> The Interpreter's Dictionary of the Bibl</w:t>
      </w:r>
      <w:r>
        <w:t>e (ed. G. A. Buttrick, T. S. Kepler and J. Knox; Nashville: Abingdom Press, 1962), 725-732</w:t>
      </w:r>
      <w:r>
        <w:fldChar w:fldCharType="end"/>
      </w:r>
      <w:r>
        <w:t xml:space="preserve">, p. </w:t>
      </w:r>
    </w:p>
  </w:endnote>
  <w:endnote w:id="12">
    <w:p w14:paraId="02C2B847" w14:textId="77777777" w:rsidR="00C21847" w:rsidRDefault="00C21847">
      <w:pPr>
        <w:pStyle w:val="EndnoteText"/>
      </w:pPr>
      <w:r>
        <w:rPr>
          <w:rStyle w:val="EndnoteCharacters"/>
        </w:rPr>
        <w:endnoteRef/>
      </w:r>
      <w:r>
        <w:rPr>
          <w:rFonts w:eastAsia="Times" w:cs="Times"/>
        </w:rPr>
        <w:tab/>
        <w:t xml:space="preserve"> </w:t>
      </w:r>
      <w:r>
        <w:t>See, Gen. 1.11; Gen. 1.20; Gen. 1.24.</w:t>
      </w:r>
    </w:p>
  </w:endnote>
  <w:endnote w:id="13">
    <w:p w14:paraId="03242FA6" w14:textId="77777777" w:rsidR="00C21847" w:rsidRDefault="00C21847">
      <w:pPr>
        <w:pStyle w:val="EndnoteText"/>
      </w:pPr>
      <w:r>
        <w:rPr>
          <w:rStyle w:val="EndnoteCharacters"/>
        </w:rPr>
        <w:endnoteRef/>
      </w:r>
      <w:r>
        <w:rPr>
          <w:rFonts w:eastAsia="Times" w:cs="Times"/>
        </w:rPr>
        <w:tab/>
        <w:t xml:space="preserve"> </w:t>
      </w:r>
      <w:r>
        <w:t>Gen. 1.27: ‘So God created humankind in his image, in the image of God he created them; male and female he created them.’</w:t>
      </w:r>
    </w:p>
  </w:endnote>
  <w:endnote w:id="14">
    <w:p w14:paraId="1E449B19" w14:textId="77777777" w:rsidR="00C21847" w:rsidRDefault="00C21847">
      <w:pPr>
        <w:pStyle w:val="EndnoteText"/>
      </w:pPr>
      <w:r>
        <w:rPr>
          <w:rStyle w:val="EndnoteCharacters"/>
        </w:rPr>
        <w:endnoteRef/>
      </w:r>
      <w:r>
        <w:rPr>
          <w:rFonts w:eastAsia="Times" w:cs="Times"/>
        </w:rPr>
        <w:tab/>
        <w:t xml:space="preserve"> </w:t>
      </w:r>
      <w:r>
        <w:fldChar w:fldCharType="begin"/>
      </w:r>
      <w:r>
        <w:instrText>vnd.oasis.opendocument.field.UNHANDLED</w:instrText>
      </w:r>
      <w:r>
        <w:fldChar w:fldCharType="separate"/>
      </w:r>
      <w:r>
        <w:t xml:space="preserve">D.J.A. Clines.  </w:t>
      </w:r>
      <w:r>
        <w:rPr>
          <w:i/>
          <w:iCs/>
        </w:rPr>
        <w:t xml:space="preserve"> The Dictionary of Classical Hebre</w:t>
      </w:r>
      <w:r>
        <w:t xml:space="preserve">w.  Vol. 2.  (Sheffield: Sheffield Academic Press, 1995) </w:t>
      </w:r>
      <w:r>
        <w:fldChar w:fldCharType="end"/>
      </w:r>
      <w:r>
        <w:t>, p. 258.</w:t>
      </w:r>
    </w:p>
  </w:endnote>
  <w:endnote w:id="15">
    <w:p w14:paraId="48FEC380" w14:textId="77777777" w:rsidR="00C21847" w:rsidRDefault="00C21847">
      <w:pPr>
        <w:pStyle w:val="EndnoteText"/>
      </w:pPr>
      <w:r>
        <w:rPr>
          <w:rStyle w:val="EndnoteCharacters"/>
        </w:rPr>
        <w:endnoteRef/>
      </w:r>
      <w:r>
        <w:rPr>
          <w:rFonts w:eastAsia="Times" w:cs="Times"/>
        </w:rPr>
        <w:tab/>
        <w:t xml:space="preserve"> </w:t>
      </w:r>
      <w:r>
        <w:t>Gen. 2.15.</w:t>
      </w:r>
    </w:p>
  </w:endnote>
  <w:endnote w:id="16">
    <w:p w14:paraId="709EEB40" w14:textId="77777777" w:rsidR="00C21847" w:rsidRDefault="00C21847">
      <w:pPr>
        <w:pStyle w:val="EndnoteText"/>
      </w:pPr>
      <w:r>
        <w:rPr>
          <w:rStyle w:val="EndnoteCharacters"/>
        </w:rPr>
        <w:endnoteRef/>
      </w:r>
      <w:r>
        <w:rPr>
          <w:rFonts w:eastAsia="Times" w:cs="Times"/>
        </w:rPr>
        <w:tab/>
        <w:t xml:space="preserve"> </w:t>
      </w:r>
      <w:r>
        <w:fldChar w:fldCharType="begin"/>
      </w:r>
      <w:r>
        <w:instrText>vnd.oasis.opendocument.field.UNHANDLED</w:instrText>
      </w:r>
      <w:r>
        <w:fldChar w:fldCharType="separate"/>
      </w:r>
      <w:r>
        <w:t>I. Hart, ‘Genesis 1:1-2:3 as a Prophetic Prologue to the Book of Genesis’,</w:t>
      </w:r>
      <w:r>
        <w:rPr>
          <w:i/>
          <w:iCs/>
        </w:rPr>
        <w:t xml:space="preserve"> Tyndale Bulletin</w:t>
      </w:r>
      <w:r>
        <w:t xml:space="preserve"> 46/2, (1995), 315-336</w:t>
      </w:r>
      <w:r>
        <w:fldChar w:fldCharType="end"/>
      </w:r>
      <w:r>
        <w:t>, p. 323. Hart points out that this word has been used to describe Solomon’s peaceful rule and thus mean ‘something close to ‘manage’. (See, 1 Kings 4.24).</w:t>
      </w:r>
    </w:p>
  </w:endnote>
  <w:endnote w:id="17">
    <w:p w14:paraId="1BB3E9B8" w14:textId="77777777" w:rsidR="00C21847" w:rsidRDefault="00C21847">
      <w:pPr>
        <w:pStyle w:val="EndnoteText"/>
      </w:pPr>
      <w:r>
        <w:rPr>
          <w:rStyle w:val="EndnoteCharacters"/>
        </w:rPr>
        <w:endnoteRef/>
      </w:r>
      <w:r>
        <w:rPr>
          <w:rFonts w:eastAsia="Times" w:cs="Times"/>
        </w:rPr>
        <w:tab/>
        <w:t xml:space="preserve"> </w:t>
      </w:r>
      <w:r>
        <w:fldChar w:fldCharType="begin"/>
      </w:r>
      <w:r>
        <w:instrText>vnd.oasis.opendocument.field.UNHANDLED</w:instrText>
      </w:r>
      <w:r>
        <w:fldChar w:fldCharType="separate"/>
      </w:r>
      <w:r>
        <w:t>I. Hart, ‘Genesis 1:1-2:3 as a Prophetic Prologue to the Book of Genesis’,</w:t>
      </w:r>
      <w:r>
        <w:rPr>
          <w:i/>
          <w:iCs/>
        </w:rPr>
        <w:t xml:space="preserve"> Tyndale Bulletin</w:t>
      </w:r>
      <w:r>
        <w:t xml:space="preserve"> 46/2, (1995), 315-336</w:t>
      </w:r>
      <w:r>
        <w:fldChar w:fldCharType="end"/>
      </w:r>
      <w:r>
        <w:t>, p. 355.</w:t>
      </w:r>
    </w:p>
  </w:endnote>
  <w:endnote w:id="18">
    <w:p w14:paraId="6019E7DF" w14:textId="77777777" w:rsidR="00C21847" w:rsidRDefault="00C21847">
      <w:pPr>
        <w:pStyle w:val="EndnoteText"/>
      </w:pPr>
      <w:r>
        <w:rPr>
          <w:rStyle w:val="EndnoteCharacters"/>
        </w:rPr>
        <w:endnoteRef/>
      </w:r>
      <w:r>
        <w:rPr>
          <w:rFonts w:eastAsia="Times" w:cs="Times"/>
        </w:rPr>
        <w:tab/>
        <w:t xml:space="preserve"> </w:t>
      </w:r>
      <w:r>
        <w:t xml:space="preserve">The phrase </w:t>
      </w:r>
      <w:proofErr w:type="spellStart"/>
      <w:r>
        <w:rPr>
          <w:rStyle w:val="SuperHebrew"/>
        </w:rPr>
        <w:t>yj</w:t>
      </w:r>
      <w:proofErr w:type="spellEnd"/>
      <w:r>
        <w:rPr>
          <w:rStyle w:val="SuperHebrew"/>
        </w:rPr>
        <w:t xml:space="preserve"> </w:t>
      </w:r>
      <w:proofErr w:type="spellStart"/>
      <w:r>
        <w:rPr>
          <w:rStyle w:val="SuperHebrew"/>
        </w:rPr>
        <w:t>lk</w:t>
      </w:r>
      <w:proofErr w:type="spellEnd"/>
      <w:r>
        <w:t xml:space="preserve"> is used in Gen 8.21 for all the living creatures.</w:t>
      </w:r>
    </w:p>
  </w:endnote>
  <w:endnote w:id="19">
    <w:p w14:paraId="5CE14069" w14:textId="77777777" w:rsidR="00C21847" w:rsidRDefault="00C21847">
      <w:pPr>
        <w:pStyle w:val="EndnoteText"/>
      </w:pPr>
      <w:r>
        <w:rPr>
          <w:rStyle w:val="EndnoteCharacters"/>
        </w:rPr>
        <w:endnoteRef/>
      </w:r>
      <w:r>
        <w:rPr>
          <w:rFonts w:eastAsia="Times" w:cs="Times"/>
        </w:rPr>
        <w:tab/>
        <w:t xml:space="preserve"> </w:t>
      </w:r>
      <w:r>
        <w:t>Ps. 115.15-16.</w:t>
      </w:r>
    </w:p>
  </w:endnote>
  <w:endnote w:id="20">
    <w:p w14:paraId="4870D349" w14:textId="77777777" w:rsidR="00C21847" w:rsidRDefault="00C21847">
      <w:pPr>
        <w:pStyle w:val="EndnoteText"/>
      </w:pPr>
      <w:r>
        <w:rPr>
          <w:rStyle w:val="EndnoteCharacters"/>
        </w:rPr>
        <w:endnoteRef/>
      </w:r>
      <w:r>
        <w:rPr>
          <w:rFonts w:eastAsia="Times" w:cs="Times"/>
        </w:rPr>
        <w:tab/>
        <w:t xml:space="preserve"> </w:t>
      </w:r>
      <w:r>
        <w:fldChar w:fldCharType="begin"/>
      </w:r>
      <w:r>
        <w:instrText>vnd.oasis.opendocument.field.UNHANDLED</w:instrText>
      </w:r>
      <w:r>
        <w:fldChar w:fldCharType="separate"/>
      </w:r>
      <w:r>
        <w:t>E.M. Curtis, ‘Image of God (OT)’, In</w:t>
      </w:r>
      <w:r>
        <w:rPr>
          <w:i/>
          <w:iCs/>
        </w:rPr>
        <w:t xml:space="preserve"> The Anchor Bible Dictionar</w:t>
      </w:r>
      <w:r>
        <w:t>y (ed. D. N. Freedman; New York: Doubleday, 1992), 389-391</w:t>
      </w:r>
      <w:r>
        <w:fldChar w:fldCharType="end"/>
      </w:r>
      <w:r>
        <w:t xml:space="preserve">, p. 389; </w:t>
      </w:r>
      <w:r>
        <w:fldChar w:fldCharType="begin"/>
      </w:r>
      <w:r>
        <w:instrText>vnd.oasis.opendocument.field.UNHANDLED</w:instrText>
      </w:r>
      <w:r>
        <w:fldChar w:fldCharType="separate"/>
      </w:r>
      <w:r>
        <w:t>I. Hart, ‘Genesis 1:1-2:3 as a Prophetic Prologue to the Book of Genesis’,</w:t>
      </w:r>
      <w:r>
        <w:rPr>
          <w:i/>
          <w:iCs/>
        </w:rPr>
        <w:t xml:space="preserve"> Tyndale Bulletin</w:t>
      </w:r>
      <w:r>
        <w:t xml:space="preserve"> 46/2, (1995), 315-336</w:t>
      </w:r>
      <w:r>
        <w:fldChar w:fldCharType="end"/>
      </w:r>
      <w:r>
        <w:t xml:space="preserve">, 320; </w:t>
      </w:r>
      <w:r>
        <w:fldChar w:fldCharType="begin"/>
      </w:r>
      <w:r>
        <w:instrText>vnd.oasis.opendocument.field.UNHANDLED</w:instrText>
      </w:r>
      <w:r>
        <w:fldChar w:fldCharType="separate"/>
      </w:r>
      <w:r>
        <w:t xml:space="preserve">A.E. Cowley and Kautzsch, eds. </w:t>
      </w:r>
      <w:r>
        <w:rPr>
          <w:u w:val="single"/>
        </w:rPr>
        <w:t xml:space="preserve"> Gesenius' Hebrew Grammar, as edited and enlarged by the late E. Kautzsc</w:t>
      </w:r>
      <w:r>
        <w:t>h.  (Oxford: Oxford University Press), 1910</w:t>
      </w:r>
      <w:r>
        <w:fldChar w:fldCharType="end"/>
      </w:r>
      <w:r>
        <w:t xml:space="preserve"> § 119 </w:t>
      </w:r>
      <w:proofErr w:type="spellStart"/>
      <w:r>
        <w:rPr>
          <w:i/>
          <w:iCs/>
        </w:rPr>
        <w:t>i</w:t>
      </w:r>
      <w:proofErr w:type="spellEnd"/>
      <w:r>
        <w:t>.</w:t>
      </w:r>
    </w:p>
  </w:endnote>
  <w:endnote w:id="21">
    <w:p w14:paraId="2B667AE0" w14:textId="77777777" w:rsidR="00C21847" w:rsidRDefault="00C21847">
      <w:pPr>
        <w:pStyle w:val="EndnoteText"/>
      </w:pPr>
      <w:r>
        <w:rPr>
          <w:rStyle w:val="EndnoteCharacters"/>
        </w:rPr>
        <w:endnoteRef/>
      </w:r>
      <w:r>
        <w:rPr>
          <w:rFonts w:eastAsia="Times" w:cs="Times"/>
        </w:rPr>
        <w:tab/>
        <w:t xml:space="preserve"> </w:t>
      </w:r>
      <w:r>
        <w:t xml:space="preserve">For a survey of the various interpretations see, </w:t>
      </w:r>
      <w:r>
        <w:fldChar w:fldCharType="begin"/>
      </w:r>
      <w:r>
        <w:instrText>vnd.oasis.opendocument.field.UNHANDLED</w:instrText>
      </w:r>
      <w:r>
        <w:fldChar w:fldCharType="separate"/>
      </w:r>
      <w:r>
        <w:t>J.M. Miller, ‘In the Image and Likeness of God’,</w:t>
      </w:r>
      <w:r>
        <w:rPr>
          <w:i/>
          <w:iCs/>
        </w:rPr>
        <w:t xml:space="preserve"> Journal of Biblical Literature</w:t>
      </w:r>
      <w:r>
        <w:t xml:space="preserve"> 91, (1972), 289-304</w:t>
      </w:r>
      <w:r>
        <w:fldChar w:fldCharType="end"/>
      </w:r>
    </w:p>
  </w:endnote>
  <w:endnote w:id="22">
    <w:p w14:paraId="1584B7AC" w14:textId="77777777" w:rsidR="00C21847" w:rsidRDefault="00C21847">
      <w:pPr>
        <w:pStyle w:val="EndnoteText"/>
      </w:pPr>
      <w:r>
        <w:rPr>
          <w:rStyle w:val="EndnoteCharacters"/>
        </w:rPr>
        <w:endnoteRef/>
      </w:r>
      <w:r>
        <w:rPr>
          <w:rFonts w:eastAsia="Times" w:cs="Times"/>
        </w:rPr>
        <w:tab/>
        <w:t xml:space="preserve"> </w:t>
      </w:r>
      <w:r>
        <w:fldChar w:fldCharType="begin"/>
      </w:r>
      <w:r>
        <w:instrText>vnd.oasis.opendocument.field.UNHANDLED</w:instrText>
      </w:r>
      <w:r>
        <w:fldChar w:fldCharType="separate"/>
      </w:r>
      <w:r>
        <w:t xml:space="preserve">G. von Rad.  </w:t>
      </w:r>
      <w:r>
        <w:rPr>
          <w:i/>
          <w:iCs/>
        </w:rPr>
        <w:t xml:space="preserve"> Genesis A Commentar</w:t>
      </w:r>
      <w:r>
        <w:t xml:space="preserve">y.  Eds. G. E. Wright, J. Bright, J. Barr and P. Ackroyd.  Trans. John H. Marks.  (Philadelphia: Westminster, 1961) </w:t>
      </w:r>
      <w:r>
        <w:fldChar w:fldCharType="end"/>
      </w:r>
      <w:r>
        <w:t xml:space="preserve">, p. 58. See also, </w:t>
      </w:r>
      <w:r>
        <w:fldChar w:fldCharType="begin"/>
      </w:r>
      <w:r>
        <w:instrText>vnd.oasis.opendocument.field.UNHANDLED</w:instrText>
      </w:r>
      <w:r>
        <w:fldChar w:fldCharType="separate"/>
      </w:r>
      <w:r>
        <w:t>D.J.A. Clines, ‘In the Image of God in Man’,</w:t>
      </w:r>
      <w:r>
        <w:rPr>
          <w:i/>
          <w:iCs/>
        </w:rPr>
        <w:t xml:space="preserve"> Tyndale Bulletin</w:t>
      </w:r>
      <w:r>
        <w:t xml:space="preserve"> 19, (1968), 101</w:t>
      </w:r>
      <w:r>
        <w:fldChar w:fldCharType="end"/>
      </w:r>
      <w:r>
        <w:t xml:space="preserve"> who holds the same position. </w:t>
      </w:r>
    </w:p>
  </w:endnote>
  <w:endnote w:id="23">
    <w:p w14:paraId="1F87023A" w14:textId="77777777" w:rsidR="00C21847" w:rsidRDefault="00C21847">
      <w:pPr>
        <w:pStyle w:val="EndnoteText"/>
      </w:pPr>
      <w:r>
        <w:rPr>
          <w:rStyle w:val="EndnoteCharacters"/>
        </w:rPr>
        <w:endnoteRef/>
      </w:r>
      <w:r>
        <w:rPr>
          <w:rFonts w:eastAsia="Times" w:cs="Times"/>
        </w:rPr>
        <w:tab/>
        <w:t xml:space="preserve"> </w:t>
      </w:r>
      <w:r>
        <w:t>Gen. 9.6.</w:t>
      </w:r>
    </w:p>
  </w:endnote>
  <w:endnote w:id="24">
    <w:p w14:paraId="196D1C27" w14:textId="77777777" w:rsidR="00C21847" w:rsidRDefault="00C21847">
      <w:pPr>
        <w:pStyle w:val="EndnoteText"/>
      </w:pPr>
      <w:r>
        <w:rPr>
          <w:rStyle w:val="EndnoteCharacters"/>
        </w:rPr>
        <w:endnoteRef/>
      </w:r>
      <w:r>
        <w:rPr>
          <w:rFonts w:eastAsia="Times" w:cs="Times"/>
        </w:rPr>
        <w:tab/>
        <w:t xml:space="preserve"> </w:t>
      </w:r>
      <w:r>
        <w:t>Gen.1.26.</w:t>
      </w:r>
    </w:p>
  </w:endnote>
  <w:endnote w:id="25">
    <w:p w14:paraId="09DDB6AC" w14:textId="77777777" w:rsidR="00C21847" w:rsidRDefault="00C21847">
      <w:pPr>
        <w:pStyle w:val="EndnoteText"/>
      </w:pPr>
      <w:r>
        <w:rPr>
          <w:rStyle w:val="EndnoteCharacters"/>
        </w:rPr>
        <w:endnoteRef/>
      </w:r>
      <w:r>
        <w:rPr>
          <w:rFonts w:eastAsia="Times" w:cs="Times"/>
        </w:rPr>
        <w:tab/>
        <w:t xml:space="preserve"> </w:t>
      </w:r>
      <w:r>
        <w:t xml:space="preserve">For example, Numb 24.19; 1 Kings 4.24; Isa. 14.2; 14.6; 41.2; Ezek. 29.15; </w:t>
      </w:r>
      <w:proofErr w:type="spellStart"/>
      <w:r>
        <w:t>Pss</w:t>
      </w:r>
      <w:proofErr w:type="spellEnd"/>
      <w:r>
        <w:t>. 72.8; 110.2.</w:t>
      </w:r>
    </w:p>
  </w:endnote>
  <w:endnote w:id="26">
    <w:p w14:paraId="19B5A84C" w14:textId="77777777" w:rsidR="00C21847" w:rsidRDefault="00C21847">
      <w:pPr>
        <w:pStyle w:val="EndnoteText"/>
      </w:pPr>
      <w:r>
        <w:rPr>
          <w:rStyle w:val="EndnoteCharacters"/>
        </w:rPr>
        <w:endnoteRef/>
      </w:r>
      <w:r>
        <w:rPr>
          <w:rFonts w:eastAsia="Times" w:cs="Times"/>
        </w:rPr>
        <w:tab/>
        <w:t xml:space="preserve"> </w:t>
      </w:r>
      <w:r>
        <w:fldChar w:fldCharType="begin"/>
      </w:r>
      <w:r>
        <w:instrText>vnd.oasis.opendocument.field.UNHANDLED</w:instrText>
      </w:r>
      <w:r>
        <w:fldChar w:fldCharType="separate"/>
      </w:r>
      <w:r>
        <w:t>B.W. Anderson, ‘Creation and Ecology’, In</w:t>
      </w:r>
      <w:r>
        <w:rPr>
          <w:i/>
          <w:iCs/>
        </w:rPr>
        <w:t xml:space="preserve"> Creation in the Old Testamen</w:t>
      </w:r>
      <w:r>
        <w:t>t (ed. B. W. Anderson; London: SPCK, 1984), 152-171</w:t>
      </w:r>
      <w:r>
        <w:fldChar w:fldCharType="end"/>
      </w:r>
      <w:r>
        <w:t>. p. 163.</w:t>
      </w:r>
    </w:p>
  </w:endnote>
  <w:endnote w:id="27">
    <w:p w14:paraId="69062DD8" w14:textId="77777777" w:rsidR="00C21847" w:rsidRDefault="00C21847">
      <w:pPr>
        <w:pStyle w:val="EndnoteText"/>
      </w:pPr>
      <w:r>
        <w:rPr>
          <w:rStyle w:val="EndnoteCharacters"/>
        </w:rPr>
        <w:endnoteRef/>
      </w:r>
      <w:r>
        <w:rPr>
          <w:rFonts w:eastAsia="Times" w:cs="Times"/>
        </w:rPr>
        <w:tab/>
        <w:t xml:space="preserve"> </w:t>
      </w:r>
      <w:r>
        <w:fldChar w:fldCharType="begin"/>
      </w:r>
      <w:r>
        <w:instrText>vnd.oasis.opendocument.field.UNHANDLED</w:instrText>
      </w:r>
      <w:r>
        <w:fldChar w:fldCharType="separate"/>
      </w:r>
      <w:r>
        <w:t>E.M. Curtis, ‘Image of God (OT)’, In</w:t>
      </w:r>
      <w:r>
        <w:rPr>
          <w:i/>
          <w:iCs/>
        </w:rPr>
        <w:t xml:space="preserve"> The Anchor Bible Dictionar</w:t>
      </w:r>
      <w:r>
        <w:t>y (ed. D. N. Freedman; New York: Doubleday, 1992), 389-391</w:t>
      </w:r>
      <w:r>
        <w:fldChar w:fldCharType="end"/>
      </w:r>
      <w:r>
        <w:t>, p. 391.</w:t>
      </w:r>
    </w:p>
  </w:endnote>
  <w:endnote w:id="28">
    <w:p w14:paraId="2D19A730" w14:textId="77777777" w:rsidR="00C21847" w:rsidRDefault="00C21847">
      <w:pPr>
        <w:pStyle w:val="EndnoteText"/>
      </w:pPr>
      <w:r>
        <w:rPr>
          <w:rStyle w:val="EndnoteCharacters"/>
        </w:rPr>
        <w:endnoteRef/>
      </w:r>
      <w:r>
        <w:rPr>
          <w:rFonts w:eastAsia="Times" w:cs="Times"/>
        </w:rPr>
        <w:tab/>
        <w:t xml:space="preserve"> </w:t>
      </w:r>
      <w:r>
        <w:fldChar w:fldCharType="begin"/>
      </w:r>
      <w:r>
        <w:instrText>vnd.oasis.opendocument.field.UNHANDLED</w:instrText>
      </w:r>
      <w:r>
        <w:fldChar w:fldCharType="separate"/>
      </w:r>
      <w:r>
        <w:t xml:space="preserve">G. von Rad.  </w:t>
      </w:r>
      <w:r>
        <w:rPr>
          <w:i/>
          <w:iCs/>
        </w:rPr>
        <w:t xml:space="preserve"> Genesis A Commentar</w:t>
      </w:r>
      <w:r>
        <w:t xml:space="preserve">y.  Eds. G. E. Wright, J. Bright, J. Barr and P. Ackroyd.  Trans. John H. Marks.  (Philadelphia: Westminster, 1961) </w:t>
      </w:r>
      <w:r>
        <w:fldChar w:fldCharType="end"/>
      </w:r>
      <w:r>
        <w:t>, p. 81.</w:t>
      </w:r>
    </w:p>
  </w:endnote>
  <w:endnote w:id="29">
    <w:p w14:paraId="4C2FAF9C" w14:textId="77777777" w:rsidR="00C21847" w:rsidRDefault="00C21847">
      <w:pPr>
        <w:pStyle w:val="EndnoteText"/>
      </w:pPr>
      <w:r>
        <w:rPr>
          <w:rStyle w:val="EndnoteCharacters"/>
        </w:rPr>
        <w:endnoteRef/>
      </w:r>
      <w:r>
        <w:rPr>
          <w:rFonts w:eastAsia="Times" w:cs="Times"/>
        </w:rPr>
        <w:tab/>
        <w:t xml:space="preserve"> </w:t>
      </w:r>
      <w:r>
        <w:t>See, 2 Sam. 5.3, 2 Kings 11.117 and 1 Sam 10.25.</w:t>
      </w:r>
    </w:p>
  </w:endnote>
  <w:endnote w:id="30">
    <w:p w14:paraId="5C70BEF9" w14:textId="77777777" w:rsidR="00C21847" w:rsidRDefault="00C21847">
      <w:pPr>
        <w:pStyle w:val="EndnoteText"/>
      </w:pPr>
      <w:r>
        <w:rPr>
          <w:rStyle w:val="EndnoteCharacters"/>
        </w:rPr>
        <w:endnoteRef/>
      </w:r>
      <w:r>
        <w:rPr>
          <w:rFonts w:eastAsia="Times" w:cs="Times"/>
        </w:rPr>
        <w:tab/>
        <w:t xml:space="preserve"> </w:t>
      </w:r>
      <w:r>
        <w:t>1 Kings 21.4.</w:t>
      </w:r>
    </w:p>
  </w:endnote>
  <w:endnote w:id="31">
    <w:p w14:paraId="6C5B4559" w14:textId="77777777" w:rsidR="00C21847" w:rsidRDefault="00C21847">
      <w:pPr>
        <w:pStyle w:val="EndnoteText"/>
      </w:pPr>
      <w:r>
        <w:rPr>
          <w:rStyle w:val="EndnoteCharacters"/>
        </w:rPr>
        <w:endnoteRef/>
      </w:r>
      <w:r>
        <w:rPr>
          <w:rFonts w:eastAsia="Times" w:cs="Times"/>
        </w:rPr>
        <w:tab/>
        <w:t xml:space="preserve"> </w:t>
      </w:r>
      <w:r>
        <w:t>1 Kings 16.24.</w:t>
      </w:r>
    </w:p>
  </w:endnote>
  <w:endnote w:id="32">
    <w:p w14:paraId="048060F2" w14:textId="77777777" w:rsidR="00C21847" w:rsidRDefault="00C21847">
      <w:pPr>
        <w:pStyle w:val="EndnoteText"/>
      </w:pPr>
      <w:r>
        <w:rPr>
          <w:rStyle w:val="EndnoteCharacters"/>
        </w:rPr>
        <w:endnoteRef/>
      </w:r>
      <w:r>
        <w:rPr>
          <w:rFonts w:eastAsia="Times" w:cs="Times"/>
        </w:rPr>
        <w:tab/>
        <w:t xml:space="preserve"> </w:t>
      </w:r>
      <w:r>
        <w:t>See, 2 Sam 11; and 1 Kings 21.8-14.</w:t>
      </w:r>
    </w:p>
  </w:endnote>
  <w:endnote w:id="33">
    <w:p w14:paraId="4C13CFE6" w14:textId="77777777" w:rsidR="00C21847" w:rsidRDefault="00C21847">
      <w:pPr>
        <w:pStyle w:val="EndnoteText"/>
      </w:pPr>
      <w:r>
        <w:rPr>
          <w:rStyle w:val="EndnoteCharacters"/>
        </w:rPr>
        <w:endnoteRef/>
      </w:r>
      <w:r>
        <w:rPr>
          <w:rFonts w:eastAsia="Times" w:cs="Times"/>
        </w:rPr>
        <w:tab/>
        <w:t xml:space="preserve"> </w:t>
      </w:r>
      <w:r>
        <w:t xml:space="preserve">The Walt Disney Film, </w:t>
      </w:r>
      <w:r>
        <w:rPr>
          <w:i/>
          <w:iCs/>
        </w:rPr>
        <w:t>The Lion King</w:t>
      </w:r>
      <w:r>
        <w:t xml:space="preserve">. </w:t>
      </w:r>
    </w:p>
  </w:endnote>
  <w:endnote w:id="34">
    <w:p w14:paraId="2F1B75EF" w14:textId="77777777" w:rsidR="00C21847" w:rsidRDefault="00C21847">
      <w:pPr>
        <w:pStyle w:val="EndnoteText"/>
      </w:pPr>
      <w:r>
        <w:rPr>
          <w:rStyle w:val="EndnoteCharacters"/>
        </w:rPr>
        <w:endnoteRef/>
      </w:r>
      <w:r>
        <w:rPr>
          <w:rFonts w:eastAsia="Times" w:cs="Times"/>
        </w:rPr>
        <w:tab/>
        <w:t xml:space="preserve"> </w:t>
      </w:r>
      <w:r>
        <w:fldChar w:fldCharType="begin"/>
      </w:r>
      <w:r>
        <w:instrText>vnd.oasis.opendocument.field.UNHANDLED</w:instrText>
      </w:r>
      <w:r>
        <w:fldChar w:fldCharType="separate"/>
      </w:r>
      <w:r>
        <w:t xml:space="preserve">U. Cassuto.  </w:t>
      </w:r>
      <w:r>
        <w:rPr>
          <w:i/>
          <w:iCs/>
        </w:rPr>
        <w:t xml:space="preserve"> Commentary on Genesi</w:t>
      </w:r>
      <w:r>
        <w:t xml:space="preserve">s.  2 ed.  (Jerusalem: Magnes Press, 1964) </w:t>
      </w:r>
      <w:r>
        <w:fldChar w:fldCharType="end"/>
      </w:r>
      <w:r>
        <w:t>, p. 97.</w:t>
      </w:r>
    </w:p>
  </w:endnote>
  <w:endnote w:id="35">
    <w:p w14:paraId="4B882153" w14:textId="77777777" w:rsidR="00C21847" w:rsidRDefault="00C21847">
      <w:pPr>
        <w:pStyle w:val="EndnoteText"/>
      </w:pPr>
      <w:r>
        <w:rPr>
          <w:rStyle w:val="EndnoteCharacters"/>
        </w:rPr>
        <w:endnoteRef/>
      </w:r>
      <w:r>
        <w:rPr>
          <w:rFonts w:eastAsia="Times" w:cs="Times"/>
        </w:rPr>
        <w:tab/>
        <w:t xml:space="preserve"> </w:t>
      </w:r>
      <w:r>
        <w:t>Gen. 6.8.</w:t>
      </w:r>
    </w:p>
  </w:endnote>
  <w:endnote w:id="36">
    <w:p w14:paraId="40733C47" w14:textId="77777777" w:rsidR="00C21847" w:rsidRDefault="00C21847">
      <w:pPr>
        <w:pStyle w:val="EndnoteText"/>
      </w:pPr>
      <w:r>
        <w:rPr>
          <w:rStyle w:val="EndnoteCharacters"/>
        </w:rPr>
        <w:endnoteRef/>
      </w:r>
      <w:r>
        <w:rPr>
          <w:rFonts w:eastAsia="Times" w:cs="Times"/>
        </w:rPr>
        <w:tab/>
        <w:t xml:space="preserve"> </w:t>
      </w:r>
      <w:r>
        <w:t>Gen. 6.20; Compare with Gen. 1.20-25.</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w:altName w:val="Palatino Linotype"/>
    <w:charset w:val="00"/>
    <w:family w:val="auto"/>
    <w:pitch w:val="variable"/>
  </w:font>
  <w:font w:name="Helvetica">
    <w:panose1 w:val="020B0604020202020204"/>
    <w:charset w:val="00"/>
    <w:family w:val="swiss"/>
    <w:pitch w:val="variable"/>
    <w:sig w:usb0="E0002EFF" w:usb1="C000785B" w:usb2="00000009" w:usb3="00000000" w:csb0="000001FF" w:csb1="00000000"/>
  </w:font>
  <w:font w:name="SuperHebrew">
    <w:altName w:val="Calibri"/>
    <w:charset w:val="4D"/>
    <w:family w:val="auto"/>
    <w:pitch w:val="variable"/>
    <w:sig w:usb0="00000003" w:usb1="00000000" w:usb2="00000000" w:usb3="00000000" w:csb0="00000001" w:csb1="00000000"/>
  </w:font>
  <w:font w:name="EB Garamond 12">
    <w:altName w:val="Calibri"/>
    <w:charset w:val="00"/>
    <w:family w:val="auto"/>
    <w:pitch w:val="variable"/>
  </w:font>
  <w:font w:name="SBL Hebrew">
    <w:panose1 w:val="02000000000000000000"/>
    <w:charset w:val="00"/>
    <w:family w:val="auto"/>
    <w:pitch w:val="variable"/>
    <w:sig w:usb0="8000086F" w:usb1="4000204A" w:usb2="00000000" w:usb3="00000000" w:csb0="00000021" w:csb1="00000000"/>
  </w:font>
  <w:font w:name="Mangal">
    <w:panose1 w:val="00000400000000000000"/>
    <w:charset w:val="00"/>
    <w:family w:val="roman"/>
    <w:pitch w:val="variable"/>
    <w:sig w:usb0="00008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EB Garamond">
    <w:altName w:val="EB Garamond"/>
    <w:charset w:val="00"/>
    <w:family w:val="auto"/>
    <w:pitch w:val="variable"/>
    <w:sig w:usb0="E00002FF" w:usb1="02000413" w:usb2="00000000" w:usb3="00000000" w:csb0="0000019F" w:csb1="00000000"/>
  </w:font>
  <w:font w:name="Transliterate">
    <w:altName w:val="Calibri"/>
    <w:charset w:val="4D"/>
    <w:family w:val="auto"/>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A40762" w14:textId="77777777" w:rsidR="00C21847" w:rsidRDefault="007B64FD" w:rsidP="007B64FD">
    <w:pPr>
      <w:pStyle w:val="Footer"/>
      <w:ind w:right="360" w:firstLine="0"/>
    </w:pPr>
    <w:r w:rsidRPr="007B64FD">
      <w:rPr>
        <w:color w:val="7F7F7F"/>
        <w:spacing w:val="60"/>
      </w:rPr>
      <w:t>Page</w:t>
    </w:r>
    <w:r>
      <w:t xml:space="preserve"> | </w:t>
    </w:r>
    <w:r>
      <w:fldChar w:fldCharType="begin"/>
    </w:r>
    <w:r>
      <w:instrText xml:space="preserve"> PAGE   \* MERGEFORMAT </w:instrText>
    </w:r>
    <w:r>
      <w:fldChar w:fldCharType="separate"/>
    </w:r>
    <w:r>
      <w:rPr>
        <w:b/>
        <w:bCs/>
        <w:noProof/>
      </w:rPr>
      <w:t>1</w:t>
    </w:r>
    <w:r>
      <w:rPr>
        <w:b/>
        <w:bCs/>
        <w:noProof/>
      </w:rPr>
      <w:fldChar w:fldCharType="end"/>
    </w:r>
    <w:r w:rsidR="00C21847">
      <w:pict w14:anchorId="4CB38B0F">
        <v:shapetype id="_x0000_t202" coordsize="21600,21600" o:spt="202" path="m,l,21600r21600,l21600,xe">
          <v:stroke joinstyle="miter"/>
          <v:path gradientshapeok="t" o:connecttype="rect"/>
        </v:shapetype>
        <v:shape id="_x0000_s1026" type="#_x0000_t202" style="position:absolute;left:0;text-align:left;margin-left:-6.5pt;margin-top:.05pt;width:44.7pt;height:28.35pt;z-index:251658240;mso-wrap-distance-left:0;mso-wrap-distance-right:0;mso-position-horizontal:outside;mso-position-horizontal-relative:margin;mso-position-vertical-relative:text" stroked="f">
          <v:fill opacity="0" color2="black"/>
          <v:textbox inset="0,0,0,0">
            <w:txbxContent>
              <w:p w14:paraId="5FEDA9F0" w14:textId="77777777" w:rsidR="00C21847" w:rsidRDefault="00C21847">
                <w:pPr>
                  <w:pStyle w:val="Footer"/>
                  <w:ind w:firstLine="0"/>
                </w:pPr>
              </w:p>
              <w:p w14:paraId="3B9D4191" w14:textId="77777777" w:rsidR="00C21847" w:rsidRDefault="00C21847">
                <w:pPr>
                  <w:pStyle w:val="Footer"/>
                </w:pPr>
              </w:p>
            </w:txbxContent>
          </v:textbox>
          <w10:wrap type="square" side="largest"/>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2A759C" w14:textId="77777777" w:rsidR="00C21847" w:rsidRDefault="00C21847">
    <w:pPr>
      <w:pStyle w:val="Footer"/>
      <w:ind w:right="360"/>
    </w:pPr>
    <w:r>
      <w:pict w14:anchorId="1EEA8E40">
        <v:shapetype id="_x0000_t202" coordsize="21600,21600" o:spt="202" path="m,l,21600r21600,l21600,xe">
          <v:stroke joinstyle="miter"/>
          <v:path gradientshapeok="t" o:connecttype="rect"/>
        </v:shapetype>
        <v:shape id="_x0000_s1025" type="#_x0000_t202" style="position:absolute;left:0;text-align:left;margin-left:394.4pt;margin-top:.05pt;width:80.7pt;height:28.35pt;z-index:251657216;mso-wrap-distance-left:0;mso-wrap-distance-right:0;mso-position-horizontal:outside;mso-position-horizontal-relative:margin" stroked="f">
          <v:fill opacity="0" color2="black"/>
          <v:textbox inset="0,0,0,0">
            <w:txbxContent>
              <w:p w14:paraId="7DBBD687" w14:textId="77777777" w:rsidR="00C21847" w:rsidRDefault="00C21847">
                <w:pPr>
                  <w:pStyle w:val="Footer"/>
                </w:pPr>
                <w:r>
                  <w:rPr>
                    <w:rStyle w:val="PageNumber"/>
                    <w:i/>
                    <w:iCs/>
                  </w:rPr>
                  <w:t xml:space="preserve">Page: </w:t>
                </w:r>
                <w:r>
                  <w:rPr>
                    <w:rStyle w:val="PageNumber"/>
                    <w:i/>
                    <w:iCs/>
                  </w:rPr>
                  <w:fldChar w:fldCharType="begin"/>
                </w:r>
                <w:r>
                  <w:rPr>
                    <w:rStyle w:val="PageNumber"/>
                    <w:i/>
                    <w:iCs/>
                  </w:rPr>
                  <w:instrText xml:space="preserve"> PAGE </w:instrText>
                </w:r>
                <w:r>
                  <w:rPr>
                    <w:rStyle w:val="PageNumber"/>
                    <w:i/>
                    <w:iCs/>
                  </w:rPr>
                  <w:fldChar w:fldCharType="separate"/>
                </w:r>
                <w:r>
                  <w:rPr>
                    <w:rStyle w:val="PageNumber"/>
                    <w:i/>
                    <w:iCs/>
                  </w:rPr>
                  <w:t>11</w:t>
                </w:r>
                <w:r>
                  <w:rPr>
                    <w:rStyle w:val="PageNumber"/>
                    <w:i/>
                    <w:iCs/>
                  </w:rPr>
                  <w:fldChar w:fldCharType="end"/>
                </w:r>
              </w:p>
              <w:p w14:paraId="2A2200F7" w14:textId="77777777" w:rsidR="00C21847" w:rsidRDefault="00C21847">
                <w:pPr>
                  <w:pStyle w:val="Footer"/>
                </w:pPr>
              </w:p>
            </w:txbxContent>
          </v:textbox>
          <w10:wrap type="square" side="largest"/>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0764D1" w14:textId="77777777" w:rsidR="00C21847" w:rsidRDefault="00C21847"/>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6CE60A" w14:textId="77777777" w:rsidR="00C21847" w:rsidRDefault="00C21847"/>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532473" w14:textId="77777777" w:rsidR="00C21847" w:rsidRDefault="00C2184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752AC57" w14:textId="77777777" w:rsidR="0029081E" w:rsidRDefault="0029081E">
      <w:r>
        <w:separator/>
      </w:r>
    </w:p>
  </w:footnote>
  <w:footnote w:type="continuationSeparator" w:id="0">
    <w:p w14:paraId="645C63A8" w14:textId="77777777" w:rsidR="0029081E" w:rsidRDefault="0029081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EF13F2" w14:textId="77777777" w:rsidR="00C21847" w:rsidRDefault="00C21847">
    <w:pPr>
      <w:pStyle w:val="Header"/>
      <w:ind w:firstLine="0"/>
    </w:pPr>
    <w:r>
      <w:rPr>
        <w:rFonts w:ascii="EB Garamond 12" w:hAnsi="EB Garamond 12"/>
        <w:i/>
        <w:iCs/>
        <w:sz w:val="20"/>
        <w:szCs w:val="20"/>
      </w:rPr>
      <w:t>Paulson Pulikottil</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31E720" w14:textId="77777777" w:rsidR="00C21847" w:rsidRDefault="00C21847">
    <w:pPr>
      <w:pStyle w:val="Header"/>
      <w:jc w:val="right"/>
    </w:pPr>
    <w:r>
      <w:rPr>
        <w:i/>
        <w:iCs/>
      </w:rPr>
      <w:t xml:space="preserve">God, Creation and </w:t>
    </w:r>
    <w:proofErr w:type="gramStart"/>
    <w:r>
      <w:rPr>
        <w:i/>
        <w:iCs/>
      </w:rPr>
      <w:t>Man  in</w:t>
    </w:r>
    <w:proofErr w:type="gramEnd"/>
    <w:r>
      <w:rPr>
        <w:i/>
        <w:iCs/>
      </w:rPr>
      <w:t xml:space="preserve"> the Old Testament</w:t>
    </w:r>
  </w:p>
  <w:p w14:paraId="047C8574" w14:textId="77777777" w:rsidR="00C21847" w:rsidRDefault="00C2184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467D2A" w14:textId="77777777" w:rsidR="00C21847" w:rsidRDefault="00C21847"/>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4D12FB" w14:textId="77777777" w:rsidR="00C21847" w:rsidRDefault="00C21847"/>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F16020" w14:textId="77777777" w:rsidR="00C21847" w:rsidRDefault="00C21847"/>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BD5A6B"/>
    <w:multiLevelType w:val="hybridMultilevel"/>
    <w:tmpl w:val="831661F8"/>
    <w:lvl w:ilvl="0" w:tplc="EF30C44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650B30A2"/>
    <w:multiLevelType w:val="multilevel"/>
    <w:tmpl w:val="2460DA6C"/>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num w:numId="1" w16cid:durableId="19743237">
    <w:abstractNumId w:val="0"/>
  </w:num>
  <w:num w:numId="2" w16cid:durableId="44874690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displayBackgroundShape/>
  <w:embedSystemFonts/>
  <w:mirrorMargin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autoHyphenation/>
  <w:defaultTableStyle w:val="Normal"/>
  <w:evenAndOddHeaders/>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hdrShapeDefaults>
    <o:shapedefaults v:ext="edit" spidmax="3074"/>
    <o:shapelayout v:ext="edit">
      <o:idmap v:ext="edit" data="1"/>
    </o:shapelayout>
  </w:hdrShapeDefaults>
  <w:footnotePr>
    <w:footnote w:id="-1"/>
    <w:footnote w:id="0"/>
  </w:footnotePr>
  <w:endnotePr>
    <w:pos w:val="sectEnd"/>
    <w:endnote w:id="-1"/>
    <w:endnote w:id="0"/>
  </w:endnotePr>
  <w:compat>
    <w:spaceForUL/>
    <w:balanceSingleByteDoubleByteWidth/>
    <w:doNotLeaveBackslashAlone/>
    <w:ulTrailSpace/>
    <w:doNotExpandShiftReturn/>
    <w:usePrinterMetrics/>
    <w:adjustLineHeightInTable/>
    <w:doNotUseHTMLParagraphAutoSpacing/>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0241AC"/>
    <w:rsid w:val="00002F73"/>
    <w:rsid w:val="000241AC"/>
    <w:rsid w:val="0004168A"/>
    <w:rsid w:val="0008090B"/>
    <w:rsid w:val="00153E31"/>
    <w:rsid w:val="0029081E"/>
    <w:rsid w:val="004618A1"/>
    <w:rsid w:val="00680136"/>
    <w:rsid w:val="00772953"/>
    <w:rsid w:val="007B64FD"/>
    <w:rsid w:val="009354DB"/>
    <w:rsid w:val="00A453D9"/>
    <w:rsid w:val="00A8224E"/>
    <w:rsid w:val="00B93EE2"/>
    <w:rsid w:val="00C21847"/>
    <w:rsid w:val="00CA1D7A"/>
    <w:rsid w:val="00D93B2E"/>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oNotEmbedSmartTags/>
  <w:decimalSymbol w:val="."/>
  <w:listSeparator w:val=","/>
  <w14:docId w14:val="120E2B4A"/>
  <w15:chartTrackingRefBased/>
  <w15:docId w15:val="{BCADE668-3B34-4909-BACC-940A04CFAF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he-I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B64FD"/>
    <w:pPr>
      <w:spacing w:line="480" w:lineRule="auto"/>
      <w:ind w:firstLine="720"/>
      <w:jc w:val="both"/>
    </w:pPr>
    <w:rPr>
      <w:rFonts w:ascii="Georgia" w:hAnsi="Georgia"/>
      <w:sz w:val="24"/>
      <w:szCs w:val="24"/>
      <w:lang w:val="en-GB" w:eastAsia="hi-IN" w:bidi="hi-IN"/>
    </w:rPr>
  </w:style>
  <w:style w:type="paragraph" w:styleId="Heading1">
    <w:name w:val="heading 1"/>
    <w:basedOn w:val="Normal"/>
    <w:next w:val="Normal"/>
    <w:autoRedefine/>
    <w:qFormat/>
    <w:rsid w:val="00772953"/>
    <w:pPr>
      <w:keepNext/>
      <w:numPr>
        <w:numId w:val="2"/>
      </w:numPr>
      <w:spacing w:before="240" w:after="60"/>
      <w:outlineLvl w:val="0"/>
    </w:pPr>
    <w:rPr>
      <w:rFonts w:eastAsia="Palatino" w:cs="Palatino"/>
      <w:bCs/>
      <w:spacing w:val="20"/>
      <w:kern w:val="1"/>
      <w:sz w:val="28"/>
      <w:szCs w:val="28"/>
    </w:rPr>
  </w:style>
  <w:style w:type="paragraph" w:styleId="Heading2">
    <w:name w:val="heading 2"/>
    <w:basedOn w:val="Normal"/>
    <w:next w:val="Normal"/>
    <w:autoRedefine/>
    <w:qFormat/>
    <w:rsid w:val="009354DB"/>
    <w:pPr>
      <w:keepNext/>
      <w:numPr>
        <w:ilvl w:val="1"/>
        <w:numId w:val="2"/>
      </w:numPr>
      <w:spacing w:before="60" w:after="60"/>
      <w:outlineLvl w:val="1"/>
    </w:pPr>
    <w:rPr>
      <w:rFonts w:eastAsia="Palatino" w:cs="Palatino"/>
      <w:b/>
      <w:bCs/>
      <w:sz w:val="28"/>
    </w:rPr>
  </w:style>
  <w:style w:type="paragraph" w:styleId="Heading3">
    <w:name w:val="heading 3"/>
    <w:basedOn w:val="Normal"/>
    <w:next w:val="Normal"/>
    <w:autoRedefine/>
    <w:qFormat/>
    <w:rsid w:val="0008090B"/>
    <w:pPr>
      <w:keepNext/>
      <w:numPr>
        <w:ilvl w:val="2"/>
        <w:numId w:val="2"/>
      </w:numPr>
      <w:spacing w:before="60" w:after="60"/>
      <w:outlineLvl w:val="2"/>
    </w:pPr>
    <w:rPr>
      <w:bCs/>
      <w:color w:val="4472C4"/>
    </w:rPr>
  </w:style>
  <w:style w:type="paragraph" w:styleId="Heading4">
    <w:name w:val="heading 4"/>
    <w:basedOn w:val="Normal"/>
    <w:next w:val="Normal"/>
    <w:qFormat/>
    <w:pPr>
      <w:keepNext/>
      <w:numPr>
        <w:ilvl w:val="3"/>
        <w:numId w:val="2"/>
      </w:numPr>
      <w:spacing w:before="240" w:after="60"/>
      <w:outlineLvl w:val="3"/>
    </w:pPr>
    <w:rPr>
      <w:b/>
      <w:bCs/>
      <w:i/>
      <w:iCs/>
    </w:rPr>
  </w:style>
  <w:style w:type="paragraph" w:styleId="Heading5">
    <w:name w:val="heading 5"/>
    <w:basedOn w:val="Normal"/>
    <w:next w:val="Normal"/>
    <w:qFormat/>
    <w:pPr>
      <w:numPr>
        <w:ilvl w:val="4"/>
        <w:numId w:val="2"/>
      </w:numPr>
      <w:spacing w:before="240" w:after="60"/>
      <w:outlineLvl w:val="4"/>
    </w:pPr>
    <w:rPr>
      <w:rFonts w:ascii="Helvetica" w:eastAsia="Helvetica" w:hAnsi="Helvetica" w:cs="Helvetica"/>
      <w:sz w:val="22"/>
      <w:szCs w:val="22"/>
    </w:rPr>
  </w:style>
  <w:style w:type="paragraph" w:styleId="Heading6">
    <w:name w:val="heading 6"/>
    <w:basedOn w:val="Normal"/>
    <w:next w:val="Normal"/>
    <w:qFormat/>
    <w:pPr>
      <w:numPr>
        <w:ilvl w:val="5"/>
        <w:numId w:val="2"/>
      </w:numPr>
      <w:spacing w:before="240" w:after="60"/>
      <w:outlineLvl w:val="5"/>
    </w:pPr>
    <w:rPr>
      <w:rFonts w:ascii="Helvetica" w:eastAsia="Helvetica" w:hAnsi="Helvetica" w:cs="Helvetica"/>
      <w:i/>
      <w:iCs/>
      <w:sz w:val="22"/>
      <w:szCs w:val="22"/>
    </w:rPr>
  </w:style>
  <w:style w:type="paragraph" w:styleId="Heading7">
    <w:name w:val="heading 7"/>
    <w:basedOn w:val="Normal"/>
    <w:next w:val="Normal"/>
    <w:qFormat/>
    <w:pPr>
      <w:numPr>
        <w:ilvl w:val="6"/>
        <w:numId w:val="2"/>
      </w:numPr>
      <w:spacing w:before="240" w:after="60"/>
      <w:outlineLvl w:val="6"/>
    </w:pPr>
    <w:rPr>
      <w:rFonts w:ascii="Helvetica" w:eastAsia="Helvetica" w:hAnsi="Helvetica" w:cs="Helvetica"/>
      <w:sz w:val="20"/>
      <w:szCs w:val="20"/>
    </w:rPr>
  </w:style>
  <w:style w:type="paragraph" w:styleId="Heading8">
    <w:name w:val="heading 8"/>
    <w:basedOn w:val="Normal"/>
    <w:next w:val="Normal"/>
    <w:qFormat/>
    <w:pPr>
      <w:numPr>
        <w:ilvl w:val="7"/>
        <w:numId w:val="2"/>
      </w:numPr>
      <w:spacing w:before="240" w:after="60"/>
      <w:outlineLvl w:val="7"/>
    </w:pPr>
    <w:rPr>
      <w:rFonts w:ascii="Helvetica" w:eastAsia="Helvetica" w:hAnsi="Helvetica" w:cs="Helvetica"/>
      <w:i/>
      <w:iCs/>
      <w:sz w:val="20"/>
      <w:szCs w:val="20"/>
    </w:rPr>
  </w:style>
  <w:style w:type="paragraph" w:styleId="Heading9">
    <w:name w:val="heading 9"/>
    <w:basedOn w:val="Normal"/>
    <w:next w:val="Normal"/>
    <w:qFormat/>
    <w:pPr>
      <w:numPr>
        <w:ilvl w:val="8"/>
        <w:numId w:val="2"/>
      </w:numPr>
      <w:spacing w:before="240" w:after="60"/>
      <w:outlineLvl w:val="8"/>
    </w:pPr>
    <w:rPr>
      <w:rFonts w:ascii="Helvetica" w:eastAsia="Helvetica" w:hAnsi="Helvetica" w:cs="Helvetica"/>
      <w:i/>
      <w:iCs/>
      <w:sz w:val="18"/>
      <w:szCs w:val="1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DefaultParagraphFont0">
    <w:name w:val="Default Paragraph Font"/>
  </w:style>
  <w:style w:type="character" w:customStyle="1" w:styleId="FootnoteCharacters">
    <w:name w:val="Footnote Characters"/>
    <w:rPr>
      <w:vertAlign w:val="superscript"/>
    </w:rPr>
  </w:style>
  <w:style w:type="character" w:customStyle="1" w:styleId="SuperHebrew">
    <w:name w:val="SuperHebrew"/>
    <w:rPr>
      <w:rFonts w:ascii="SuperHebrew" w:eastAsia="SuperHebrew" w:hAnsi="SuperHebrew" w:cs="SuperHebrew"/>
      <w:spacing w:val="20"/>
      <w:lang w:val="en-IN"/>
    </w:rPr>
  </w:style>
  <w:style w:type="character" w:customStyle="1" w:styleId="EndnoteCharacters">
    <w:name w:val="Endnote Characters"/>
    <w:rPr>
      <w:vertAlign w:val="superscript"/>
    </w:rPr>
  </w:style>
  <w:style w:type="character" w:styleId="PageNumber">
    <w:name w:val="page number"/>
    <w:basedOn w:val="DefaultParagraphFont0"/>
  </w:style>
  <w:style w:type="character" w:customStyle="1" w:styleId="Latin">
    <w:name w:val="Latin"/>
    <w:rPr>
      <w:i/>
      <w:iCs/>
      <w:lang w:val="en-IN"/>
    </w:rPr>
  </w:style>
  <w:style w:type="character" w:customStyle="1" w:styleId="French">
    <w:name w:val="French"/>
    <w:rPr>
      <w:i/>
      <w:iCs/>
      <w:lang w:val="en-IN"/>
    </w:rPr>
  </w:style>
  <w:style w:type="character" w:customStyle="1" w:styleId="German">
    <w:name w:val="German"/>
    <w:rPr>
      <w:i/>
      <w:iCs/>
      <w:lang w:val="en-IN"/>
    </w:rPr>
  </w:style>
  <w:style w:type="character" w:styleId="EndnoteReference">
    <w:name w:val="endnote reference"/>
    <w:rPr>
      <w:vertAlign w:val="superscript"/>
    </w:rPr>
  </w:style>
  <w:style w:type="character" w:styleId="FootnoteReference">
    <w:name w:val="footnote reference"/>
    <w:rPr>
      <w:vertAlign w:val="superscript"/>
    </w:rPr>
  </w:style>
  <w:style w:type="paragraph" w:customStyle="1" w:styleId="Heading">
    <w:name w:val="Heading"/>
    <w:basedOn w:val="Normal"/>
    <w:next w:val="BodyText"/>
    <w:pPr>
      <w:spacing w:before="240" w:after="60"/>
      <w:jc w:val="center"/>
    </w:pPr>
    <w:rPr>
      <w:rFonts w:ascii="Helvetica" w:eastAsia="Helvetica" w:hAnsi="Helvetica" w:cs="Helvetica"/>
      <w:b/>
      <w:bCs/>
      <w:kern w:val="1"/>
      <w:sz w:val="32"/>
      <w:szCs w:val="32"/>
    </w:rPr>
  </w:style>
  <w:style w:type="paragraph" w:styleId="BodyText">
    <w:name w:val="Body Text"/>
    <w:basedOn w:val="Normal"/>
    <w:pPr>
      <w:spacing w:after="140" w:line="288" w:lineRule="auto"/>
    </w:pPr>
    <w:rPr>
      <w:rFonts w:ascii="EB Garamond 12" w:hAnsi="EB Garamond 12"/>
    </w:rPr>
  </w:style>
  <w:style w:type="paragraph" w:styleId="List">
    <w:name w:val="List"/>
    <w:basedOn w:val="BodyText"/>
    <w:rPr>
      <w:rFonts w:cs="SBL Hebrew"/>
    </w:rPr>
  </w:style>
  <w:style w:type="paragraph" w:styleId="Caption">
    <w:name w:val="caption"/>
    <w:basedOn w:val="Normal"/>
    <w:qFormat/>
    <w:pPr>
      <w:suppressLineNumbers/>
      <w:spacing w:before="120" w:after="120"/>
    </w:pPr>
    <w:rPr>
      <w:rFonts w:cs="SBL Hebrew"/>
      <w:i/>
      <w:iCs/>
    </w:rPr>
  </w:style>
  <w:style w:type="paragraph" w:customStyle="1" w:styleId="Index">
    <w:name w:val="Index"/>
    <w:basedOn w:val="Normal"/>
    <w:pPr>
      <w:suppressLineNumbers/>
    </w:pPr>
    <w:rPr>
      <w:rFonts w:cs="SBL Hebrew"/>
    </w:rPr>
  </w:style>
  <w:style w:type="paragraph" w:customStyle="1" w:styleId="Illustration">
    <w:name w:val="Illustration"/>
    <w:basedOn w:val="Normal"/>
    <w:rPr>
      <w:i/>
      <w:iCs/>
      <w:color w:val="000000"/>
      <w:sz w:val="28"/>
      <w:szCs w:val="28"/>
      <w:lang w:val="en-US"/>
    </w:rPr>
  </w:style>
  <w:style w:type="paragraph" w:styleId="FootnoteText">
    <w:name w:val="footnote text"/>
    <w:basedOn w:val="Normal"/>
    <w:rPr>
      <w:sz w:val="20"/>
      <w:szCs w:val="20"/>
    </w:rPr>
  </w:style>
  <w:style w:type="paragraph" w:styleId="EndnoteText">
    <w:name w:val="endnote text"/>
    <w:basedOn w:val="Normal"/>
    <w:rPr>
      <w:color w:val="000000"/>
      <w:sz w:val="20"/>
      <w:szCs w:val="20"/>
      <w:lang w:val="en-US"/>
    </w:rPr>
  </w:style>
  <w:style w:type="paragraph" w:styleId="Footer">
    <w:name w:val="footer"/>
    <w:basedOn w:val="Normal"/>
    <w:pPr>
      <w:tabs>
        <w:tab w:val="center" w:pos="4320"/>
        <w:tab w:val="right" w:pos="8640"/>
      </w:tabs>
    </w:pPr>
  </w:style>
  <w:style w:type="paragraph" w:customStyle="1" w:styleId="Quotation">
    <w:name w:val="Quotation"/>
    <w:basedOn w:val="Normal"/>
    <w:next w:val="Normal"/>
    <w:pPr>
      <w:spacing w:before="120" w:after="120"/>
      <w:ind w:left="709" w:firstLine="425"/>
    </w:pPr>
    <w:rPr>
      <w:sz w:val="20"/>
      <w:szCs w:val="20"/>
    </w:rPr>
  </w:style>
  <w:style w:type="paragraph" w:styleId="Header">
    <w:name w:val="header"/>
    <w:basedOn w:val="Normal"/>
    <w:pPr>
      <w:tabs>
        <w:tab w:val="center" w:pos="4320"/>
        <w:tab w:val="right" w:pos="8640"/>
      </w:tabs>
    </w:pPr>
  </w:style>
  <w:style w:type="paragraph" w:styleId="TableofAuthorities">
    <w:name w:val="table of authorities"/>
    <w:basedOn w:val="Normal"/>
    <w:next w:val="Normal"/>
    <w:pPr>
      <w:tabs>
        <w:tab w:val="right" w:leader="dot" w:pos="8646"/>
      </w:tabs>
      <w:ind w:left="240" w:hanging="240"/>
      <w:jc w:val="left"/>
    </w:pPr>
    <w:rPr>
      <w:sz w:val="20"/>
      <w:szCs w:val="20"/>
    </w:rPr>
  </w:style>
  <w:style w:type="paragraph" w:customStyle="1" w:styleId="IntroConcl">
    <w:name w:val="Intro&amp;Concl."/>
    <w:basedOn w:val="Heading1"/>
    <w:next w:val="Normal"/>
  </w:style>
  <w:style w:type="paragraph" w:styleId="TOAHeading">
    <w:name w:val="toa heading"/>
    <w:basedOn w:val="Normal"/>
    <w:next w:val="Normal"/>
    <w:pPr>
      <w:spacing w:before="240" w:after="120"/>
      <w:jc w:val="left"/>
    </w:pPr>
    <w:rPr>
      <w:b/>
      <w:bCs/>
      <w:caps/>
      <w:sz w:val="20"/>
      <w:szCs w:val="20"/>
    </w:rPr>
  </w:style>
  <w:style w:type="paragraph" w:customStyle="1" w:styleId="Poetry">
    <w:name w:val="Poetry"/>
    <w:basedOn w:val="Normal"/>
    <w:pPr>
      <w:tabs>
        <w:tab w:val="left" w:pos="2552"/>
      </w:tabs>
      <w:spacing w:before="40" w:after="40"/>
      <w:ind w:left="1134" w:firstLine="567"/>
    </w:pPr>
  </w:style>
  <w:style w:type="paragraph" w:customStyle="1" w:styleId="Framecontents">
    <w:name w:val="Frame contents"/>
    <w:basedOn w:val="Normal"/>
  </w:style>
  <w:style w:type="paragraph" w:customStyle="1" w:styleId="ContentsHeading">
    <w:name w:val="Contents Heading"/>
    <w:basedOn w:val="Heading"/>
    <w:pPr>
      <w:suppressLineNumbers/>
      <w:ind w:firstLine="0"/>
    </w:pPr>
  </w:style>
  <w:style w:type="paragraph" w:customStyle="1" w:styleId="Quotations">
    <w:name w:val="Quotations"/>
    <w:basedOn w:val="Normal"/>
    <w:pPr>
      <w:spacing w:after="283"/>
      <w:ind w:left="567" w:right="567" w:firstLine="0"/>
    </w:pPr>
  </w:style>
  <w:style w:type="paragraph" w:styleId="Title">
    <w:name w:val="Title"/>
    <w:basedOn w:val="Heading"/>
    <w:next w:val="BodyText"/>
    <w:qFormat/>
    <w:rPr>
      <w:sz w:val="56"/>
      <w:szCs w:val="56"/>
    </w:rPr>
  </w:style>
  <w:style w:type="paragraph" w:styleId="Subtitle">
    <w:name w:val="Subtitle"/>
    <w:basedOn w:val="Heading"/>
    <w:next w:val="BodyText"/>
    <w:qFormat/>
    <w:pPr>
      <w:spacing w:before="60" w:after="120"/>
    </w:pPr>
    <w:rPr>
      <w:sz w:val="36"/>
      <w:szCs w:val="36"/>
    </w:rPr>
  </w:style>
  <w:style w:type="paragraph" w:styleId="Bibliography">
    <w:name w:val="Bibliography"/>
    <w:basedOn w:val="Normal"/>
    <w:next w:val="Normal"/>
    <w:uiPriority w:val="37"/>
    <w:unhideWhenUsed/>
    <w:rsid w:val="00772953"/>
    <w:pPr>
      <w:ind w:left="720" w:hanging="720"/>
    </w:pPr>
    <w:rPr>
      <w:rFonts w:cs="Mangal"/>
      <w:szCs w:val="21"/>
    </w:rPr>
  </w:style>
  <w:style w:type="paragraph" w:styleId="Quote">
    <w:name w:val="Quote"/>
    <w:basedOn w:val="Normal"/>
    <w:next w:val="Normal"/>
    <w:link w:val="QuoteChar"/>
    <w:uiPriority w:val="29"/>
    <w:qFormat/>
    <w:rsid w:val="00772953"/>
    <w:pPr>
      <w:spacing w:before="200" w:after="160"/>
      <w:ind w:left="864" w:right="864"/>
      <w:jc w:val="center"/>
    </w:pPr>
    <w:rPr>
      <w:rFonts w:cs="Mangal"/>
      <w:i/>
      <w:iCs/>
      <w:color w:val="404040"/>
      <w:szCs w:val="21"/>
    </w:rPr>
  </w:style>
  <w:style w:type="character" w:customStyle="1" w:styleId="QuoteChar">
    <w:name w:val="Quote Char"/>
    <w:link w:val="Quote"/>
    <w:uiPriority w:val="29"/>
    <w:rsid w:val="00772953"/>
    <w:rPr>
      <w:rFonts w:ascii="Times" w:hAnsi="Times" w:cs="Mangal"/>
      <w:i/>
      <w:iCs/>
      <w:color w:val="404040"/>
      <w:sz w:val="24"/>
      <w:szCs w:val="21"/>
      <w:lang w:val="en-GB" w:eastAsia="hi-I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oter" Target="footer3.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header" Target="header4.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5.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header" Target="header5.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oter" Target="footer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22</Pages>
  <Words>4933</Words>
  <Characters>28124</Characters>
  <Application>Microsoft Office Word</Application>
  <DocSecurity>0</DocSecurity>
  <Lines>234</Lines>
  <Paragraphs>65</Paragraphs>
  <ScaleCrop>false</ScaleCrop>
  <HeadingPairs>
    <vt:vector size="4" baseType="variant">
      <vt:variant>
        <vt:lpstr>Title</vt:lpstr>
      </vt:variant>
      <vt:variant>
        <vt:i4>1</vt:i4>
      </vt:variant>
      <vt:variant>
        <vt:lpstr>Headings</vt:lpstr>
      </vt:variant>
      <vt:variant>
        <vt:i4>25</vt:i4>
      </vt:variant>
    </vt:vector>
  </HeadingPairs>
  <TitlesOfParts>
    <vt:vector size="26" baseType="lpstr">
      <vt:lpstr/>
      <vt:lpstr>Introduction</vt:lpstr>
      <vt:lpstr>        Population explosion brings wild-life and humans in conflict.</vt:lpstr>
      <vt:lpstr>        Greed is one of the reasons for the imbalance of wild-life and human existence.</vt:lpstr>
      <vt:lpstr>        Religious beliefs play a crucial role in the attitude towards animals.</vt:lpstr>
      <vt:lpstr>        Strategies to reduce the conflicts, restricts human freedom.</vt:lpstr>
      <vt:lpstr>        It is important to be clear about the place, role of animals in Biblical perspec</vt:lpstr>
      <vt:lpstr>        The best place would be to find out what the Bible says about God the creator of</vt:lpstr>
      <vt:lpstr>God of Creation</vt:lpstr>
      <vt:lpstr>        Unlike the contemporary religious traditions, in the Old Testament thinking it i</vt:lpstr>
      <vt:lpstr>        Creation theology of the Bible is monotheistic.</vt:lpstr>
      <vt:lpstr>    Creation and Sovereignty of God</vt:lpstr>
      <vt:lpstr>        The idea that God created “by the word” expresses the absolute independence of G</vt:lpstr>
      <vt:lpstr>        It is to be noted that the God’s ownership is extended to the whole of nature an</vt:lpstr>
      <vt:lpstr>        The God-centredness of the creation theology is seen reflected in other traditio</vt:lpstr>
      <vt:lpstr>The Earth-centredness of Creation Theology</vt:lpstr>
      <vt:lpstr>Man in Relation to Creation</vt:lpstr>
      <vt:lpstr>    Derived Authority</vt:lpstr>
      <vt:lpstr>    Role in Creation</vt:lpstr>
      <vt:lpstr>    The ‘Image of God’</vt:lpstr>
      <vt:lpstr>    The Regent of God</vt:lpstr>
      <vt:lpstr>    The Ongoing Role: The Flood and After</vt:lpstr>
      <vt:lpstr>Conclusion</vt:lpstr>
      <vt:lpstr>Derived Authority</vt:lpstr>
      <vt:lpstr>Redemption and New Creation</vt:lpstr>
      <vt:lpstr>Bibliography</vt:lpstr>
    </vt:vector>
  </TitlesOfParts>
  <Company/>
  <LinksUpToDate>false</LinksUpToDate>
  <CharactersWithSpaces>32992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Paulson Pulikottil</dc:creator>
  <cp:keywords/>
  <cp:lastModifiedBy>Paulson Pulikottil</cp:lastModifiedBy>
  <cp:revision>2</cp:revision>
  <cp:lastPrinted>1601-01-01T00:00:00Z</cp:lastPrinted>
  <dcterms:created xsi:type="dcterms:W3CDTF">2022-11-11T04:24:00Z</dcterms:created>
  <dcterms:modified xsi:type="dcterms:W3CDTF">2022-11-11T04:24:00Z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zotero-version="6.0.16"&gt;&lt;session id="LsvlYe62"/&gt;&lt;style id="http://www.zotero.org/styles/chicago-author-date" locale="en-GB" hasBibliography="1" bibliographyStyleHasBeenSet="1"/&gt;&lt;prefs&gt;&lt;pref name="fieldType" value="Field"/&gt;&lt;pref name</vt:lpwstr>
  </property>
  <property fmtid="{D5CDD505-2E9C-101B-9397-08002B2CF9AE}" pid="3" name="ZOTERO_PREF_2">
    <vt:lpwstr>="automaticJournalAbbreviations" value="true"/&gt;&lt;/prefs&gt;&lt;/data&gt;</vt:lpwstr>
  </property>
</Properties>
</file>